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24"/>
        </w:rPr>
      </w:pPr>
      <w:bookmarkStart w:id="0" w:name="_GoBack"/>
      <w:bookmarkEnd w:id="0"/>
    </w:p>
    <w:p>
      <w:pPr>
        <w:ind w:firstLine="2409" w:firstLineChars="1000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  <w:lang w:eastAsia="zh-CN"/>
        </w:rPr>
        <w:t>人文学院</w:t>
      </w:r>
      <w:r>
        <w:rPr>
          <w:rFonts w:hint="eastAsia"/>
          <w:b/>
          <w:bCs/>
          <w:color w:val="auto"/>
          <w:sz w:val="24"/>
        </w:rPr>
        <w:t>本科生毕业论文注释要求</w:t>
      </w:r>
    </w:p>
    <w:p>
      <w:pPr>
        <w:ind w:firstLine="3373" w:firstLineChars="1400"/>
        <w:rPr>
          <w:rFonts w:hint="eastAsia" w:ascii="楷体" w:hAnsi="楷体" w:eastAsia="楷体" w:cs="楷体"/>
          <w:b/>
          <w:bCs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lang w:val="en-US" w:eastAsia="zh-CN"/>
        </w:rPr>
        <w:t>2018年5月30日</w:t>
      </w:r>
    </w:p>
    <w:p>
      <w:pPr>
        <w:rPr>
          <w:rFonts w:hint="eastAsia"/>
          <w:color w:val="auto"/>
          <w:sz w:val="24"/>
        </w:rPr>
      </w:pPr>
    </w:p>
    <w:p>
      <w:pPr>
        <w:rPr>
          <w:rFonts w:hint="eastAsia"/>
          <w:color w:val="auto"/>
          <w:sz w:val="24"/>
        </w:rPr>
      </w:pPr>
    </w:p>
    <w:p>
      <w:pPr>
        <w:tabs>
          <w:tab w:val="left" w:pos="720"/>
        </w:tabs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一、引用文字标注的基本要求：注释标号跟着引号走。注释标号一定要在下引号后面，并紧跟下引号。</w:t>
      </w:r>
    </w:p>
    <w:p>
      <w:pPr>
        <w:tabs>
          <w:tab w:val="left" w:pos="720"/>
        </w:tabs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在引用时，最关键的是如何处理下引号和逗、句号之间的关系。</w:t>
      </w:r>
    </w:p>
    <w:p>
      <w:pPr>
        <w:tabs>
          <w:tab w:val="left" w:pos="720"/>
        </w:tabs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例1：[上引号前面没有冒号，直接引用，逗号应在注释标号的后面]</w:t>
      </w:r>
    </w:p>
    <w:p>
      <w:pPr>
        <w:tabs>
          <w:tab w:val="left" w:pos="720"/>
        </w:tabs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通</w:t>
      </w:r>
      <w:r>
        <w:rPr>
          <w:rFonts w:hint="eastAsia"/>
          <w:color w:val="auto"/>
          <w:sz w:val="24"/>
        </w:rPr>
        <w:t>过</w:t>
      </w:r>
      <w:r>
        <w:rPr>
          <w:color w:val="auto"/>
          <w:sz w:val="24"/>
        </w:rPr>
        <w:t>“</w:t>
      </w:r>
      <w:r>
        <w:rPr>
          <w:rFonts w:hint="eastAsia"/>
          <w:color w:val="auto"/>
          <w:sz w:val="24"/>
        </w:rPr>
        <w:t>梁庄</w:t>
      </w:r>
      <w:r>
        <w:rPr>
          <w:rFonts w:hint="eastAsia"/>
          <w:color w:val="auto"/>
          <w:sz w:val="24"/>
        </w:rPr>
        <w:t>的老人、妇女、儿童，对梁庄的自然环境，</w:t>
      </w:r>
      <w:r>
        <w:rPr>
          <w:color w:val="auto"/>
          <w:sz w:val="24"/>
        </w:rPr>
        <w:t>……</w:t>
      </w:r>
      <w:r>
        <w:rPr>
          <w:rFonts w:hint="eastAsia"/>
          <w:color w:val="auto"/>
          <w:sz w:val="24"/>
        </w:rPr>
        <w:t>勾勒、描述梁庄这将近半个世纪的历史命运、生存图景和精神图景</w:t>
      </w:r>
      <w:r>
        <w:rPr>
          <w:color w:val="auto"/>
          <w:sz w:val="24"/>
        </w:rPr>
        <w:t>”</w:t>
      </w:r>
      <w:r>
        <w:rPr>
          <w:rFonts w:hint="eastAsia"/>
          <w:color w:val="auto"/>
          <w:sz w:val="24"/>
        </w:rPr>
        <w:t xml:space="preserve"> ①，</w:t>
      </w:r>
      <w:r>
        <w:rPr>
          <w:rFonts w:hint="eastAsia"/>
          <w:color w:val="auto"/>
          <w:sz w:val="24"/>
        </w:rPr>
        <w:t>从而完成了</w:t>
      </w:r>
      <w:r>
        <w:rPr>
          <w:color w:val="auto"/>
          <w:sz w:val="24"/>
        </w:rPr>
        <w:t>……</w:t>
      </w:r>
      <w:r>
        <w:rPr>
          <w:rFonts w:hint="eastAsia"/>
          <w:color w:val="auto"/>
          <w:sz w:val="24"/>
        </w:rPr>
        <w:t xml:space="preserve"> </w:t>
      </w:r>
    </w:p>
    <w:p>
      <w:pPr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例2：[上引号前面有冒号，完整引用，句号应在下引号的里面]</w:t>
      </w:r>
    </w:p>
    <w:p>
      <w:pPr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阿来更是直言不讳地强</w:t>
      </w:r>
      <w:r>
        <w:rPr>
          <w:rFonts w:hint="eastAsia"/>
          <w:color w:val="auto"/>
          <w:sz w:val="24"/>
        </w:rPr>
        <w:t>调：</w:t>
      </w:r>
      <w:r>
        <w:rPr>
          <w:color w:val="auto"/>
          <w:sz w:val="24"/>
        </w:rPr>
        <w:t>“</w:t>
      </w:r>
      <w:r>
        <w:rPr>
          <w:rFonts w:hint="eastAsia"/>
          <w:color w:val="auto"/>
          <w:sz w:val="24"/>
        </w:rPr>
        <w:t>我</w:t>
      </w:r>
      <w:r>
        <w:rPr>
          <w:rFonts w:hint="eastAsia"/>
          <w:color w:val="auto"/>
          <w:sz w:val="24"/>
        </w:rPr>
        <w:t>所以对有清一代瞻对的地方史产生兴趣，是因为察觉到这部地方史正是整个川属藏族地区，几百上千年历史的一个缩影，一个典型样本。</w:t>
      </w:r>
      <w:r>
        <w:rPr>
          <w:color w:val="auto"/>
          <w:sz w:val="24"/>
        </w:rPr>
        <w:t>”</w:t>
      </w:r>
      <w:r>
        <w:rPr>
          <w:rFonts w:hint="eastAsia"/>
          <w:color w:val="auto"/>
          <w:sz w:val="24"/>
        </w:rPr>
        <w:t xml:space="preserve"> ①</w:t>
      </w:r>
      <w:r>
        <w:rPr>
          <w:rFonts w:hint="eastAsia"/>
          <w:color w:val="auto"/>
          <w:sz w:val="24"/>
        </w:rPr>
        <w:t>为此，他</w:t>
      </w:r>
      <w:r>
        <w:rPr>
          <w:color w:val="auto"/>
          <w:sz w:val="24"/>
        </w:rPr>
        <w:t>……</w:t>
      </w:r>
      <w:r>
        <w:rPr>
          <w:rFonts w:hint="eastAsia"/>
          <w:color w:val="auto"/>
          <w:sz w:val="24"/>
        </w:rPr>
        <w:t xml:space="preserve"> </w:t>
      </w:r>
    </w:p>
    <w:p>
      <w:pPr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例3：[上引号前面是逗号，摘要性引用关键论述，句号应在注释标号的后面]</w:t>
      </w:r>
    </w:p>
    <w:p>
      <w:pPr>
        <w:spacing w:line="36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博德里亚尔就</w:t>
      </w:r>
      <w:r>
        <w:rPr>
          <w:rFonts w:hint="eastAsia"/>
          <w:color w:val="auto"/>
          <w:sz w:val="24"/>
        </w:rPr>
        <w:t>认为，这是人类自我导演的一场</w:t>
      </w:r>
      <w:r>
        <w:rPr>
          <w:color w:val="auto"/>
          <w:sz w:val="24"/>
        </w:rPr>
        <w:t>“</w:t>
      </w:r>
      <w:r>
        <w:rPr>
          <w:rFonts w:hint="eastAsia"/>
          <w:color w:val="auto"/>
          <w:sz w:val="24"/>
        </w:rPr>
        <w:t>完</w:t>
      </w:r>
      <w:r>
        <w:rPr>
          <w:rFonts w:hint="eastAsia"/>
          <w:color w:val="auto"/>
          <w:sz w:val="24"/>
        </w:rPr>
        <w:t>美的罪行</w:t>
      </w:r>
      <w:r>
        <w:rPr>
          <w:color w:val="auto"/>
          <w:sz w:val="24"/>
        </w:rPr>
        <w:t>”</w:t>
      </w:r>
      <w:r>
        <w:rPr>
          <w:rFonts w:hint="eastAsia"/>
          <w:color w:val="auto"/>
          <w:sz w:val="24"/>
        </w:rPr>
        <w:t>：</w:t>
      </w:r>
      <w:r>
        <w:rPr>
          <w:color w:val="auto"/>
          <w:sz w:val="24"/>
        </w:rPr>
        <w:t>“</w:t>
      </w:r>
      <w:r>
        <w:rPr>
          <w:rFonts w:hint="eastAsia"/>
          <w:color w:val="auto"/>
          <w:sz w:val="24"/>
        </w:rPr>
        <w:t>大众传媒的</w:t>
      </w:r>
      <w:r>
        <w:rPr>
          <w:color w:val="auto"/>
          <w:sz w:val="24"/>
        </w:rPr>
        <w:t>‘</w:t>
      </w:r>
      <w:r>
        <w:rPr>
          <w:rFonts w:hint="eastAsia"/>
          <w:color w:val="auto"/>
          <w:sz w:val="24"/>
        </w:rPr>
        <w:t>表现</w:t>
      </w:r>
      <w:r>
        <w:rPr>
          <w:color w:val="auto"/>
          <w:sz w:val="24"/>
        </w:rPr>
        <w:t>’</w:t>
      </w:r>
      <w:r>
        <w:rPr>
          <w:rFonts w:hint="eastAsia"/>
          <w:color w:val="auto"/>
          <w:sz w:val="24"/>
        </w:rPr>
        <w:t>就导致一种普遍的虚拟</w:t>
      </w:r>
      <w:r>
        <w:rPr>
          <w:color w:val="auto"/>
          <w:sz w:val="24"/>
        </w:rPr>
        <w:t>……</w:t>
      </w:r>
      <w:r>
        <w:rPr>
          <w:rFonts w:hint="eastAsia"/>
          <w:color w:val="auto"/>
          <w:sz w:val="24"/>
        </w:rPr>
        <w:t>身体的虚拟（遗传基因码和染色体组）</w:t>
      </w:r>
      <w:r>
        <w:rPr>
          <w:color w:val="auto"/>
          <w:sz w:val="24"/>
        </w:rPr>
        <w:t>”</w:t>
      </w:r>
      <w:r>
        <w:rPr>
          <w:rFonts w:hint="eastAsia"/>
          <w:color w:val="auto"/>
          <w:sz w:val="24"/>
        </w:rPr>
        <w:t>、</w:t>
      </w:r>
      <w:r>
        <w:rPr>
          <w:color w:val="auto"/>
          <w:sz w:val="24"/>
        </w:rPr>
        <w:t>“</w:t>
      </w:r>
      <w:r>
        <w:rPr>
          <w:rFonts w:hint="eastAsia"/>
          <w:color w:val="auto"/>
          <w:sz w:val="24"/>
        </w:rPr>
        <w:t>人工智能不经意落入了一个太高的清晰度、</w:t>
      </w:r>
      <w:r>
        <w:rPr>
          <w:color w:val="auto"/>
          <w:sz w:val="24"/>
        </w:rPr>
        <w:t>……</w:t>
      </w:r>
      <w:r>
        <w:rPr>
          <w:rFonts w:hint="eastAsia"/>
          <w:color w:val="auto"/>
          <w:sz w:val="24"/>
        </w:rPr>
        <w:t>此现象仅仅证明这是已实现的对思维的空想</w:t>
      </w:r>
      <w:r>
        <w:rPr>
          <w:color w:val="auto"/>
          <w:sz w:val="24"/>
        </w:rPr>
        <w:t>”</w:t>
      </w:r>
      <w:r>
        <w:rPr>
          <w:rFonts w:hint="eastAsia"/>
          <w:color w:val="auto"/>
          <w:sz w:val="24"/>
        </w:rPr>
        <w:t xml:space="preserve"> ①。</w:t>
      </w:r>
      <w:r>
        <w:rPr>
          <w:rFonts w:hint="eastAsia"/>
          <w:color w:val="auto"/>
          <w:sz w:val="24"/>
        </w:rPr>
        <w:t xml:space="preserve"> 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务必注意，注释标号的具体位置。</w:t>
      </w:r>
    </w:p>
    <w:p>
      <w:pPr>
        <w:rPr>
          <w:rFonts w:hint="eastAsia"/>
          <w:color w:val="auto"/>
          <w:sz w:val="24"/>
        </w:rPr>
      </w:pPr>
    </w:p>
    <w:p>
      <w:pPr>
        <w:numPr>
          <w:ilvl w:val="0"/>
          <w:numId w:val="1"/>
        </w:numPr>
        <w:rPr>
          <w:rFonts w:hint="eastAsia" w:ascii="MS Mincho" w:hAnsi="MS Mincho" w:cs="MS Mincho" w:eastAsiaTheme="minorEastAsia"/>
          <w:color w:val="auto"/>
          <w:sz w:val="24"/>
        </w:rPr>
      </w:pPr>
      <w:r>
        <w:rPr>
          <w:rFonts w:hint="eastAsia"/>
          <w:color w:val="auto"/>
          <w:sz w:val="24"/>
        </w:rPr>
        <w:t>论文</w:t>
      </w:r>
      <w:r>
        <w:rPr>
          <w:rFonts w:hint="eastAsia"/>
          <w:color w:val="auto"/>
          <w:sz w:val="24"/>
          <w:lang w:eastAsia="zh-CN"/>
        </w:rPr>
        <w:t>正文</w:t>
      </w:r>
      <w:r>
        <w:rPr>
          <w:rFonts w:hint="eastAsia"/>
          <w:color w:val="auto"/>
          <w:sz w:val="24"/>
        </w:rPr>
        <w:t>注释一律</w:t>
      </w:r>
      <w:r>
        <w:rPr>
          <w:rFonts w:hint="eastAsia"/>
          <w:color w:val="auto"/>
          <w:sz w:val="24"/>
        </w:rPr>
        <w:t>采用当页底注（又称脚注），每页重新编号，选择自动生成</w:t>
      </w:r>
      <w:r>
        <w:rPr>
          <w:rFonts w:hint="eastAsia"/>
          <w:color w:val="auto"/>
          <w:sz w:val="24"/>
        </w:rPr>
        <w:t>的方式。具体编号方式采用①②③④⑤⑥⑦⑧⑨⑩</w:t>
      </w:r>
      <w:r>
        <w:rPr>
          <w:rFonts w:hint="eastAsia" w:ascii="MS Mincho" w:hAnsi="MS Mincho" w:eastAsia="MS Mincho" w:cs="MS Mincho"/>
          <w:color w:val="auto"/>
          <w:sz w:val="24"/>
        </w:rPr>
        <w:t>⑪⑫⑬⑭⑮⑯⑰⑱⑲</w:t>
      </w:r>
      <w:r>
        <w:rPr>
          <w:rFonts w:hint="eastAsia" w:ascii="MS Mincho" w:hAnsi="MS Mincho" w:cs="MS Mincho" w:eastAsiaTheme="minorEastAsia"/>
          <w:color w:val="auto"/>
          <w:sz w:val="24"/>
        </w:rPr>
        <w:t>……</w:t>
      </w:r>
    </w:p>
    <w:p>
      <w:pPr>
        <w:numPr>
          <w:numId w:val="0"/>
        </w:numPr>
        <w:rPr>
          <w:rFonts w:hint="eastAsia" w:ascii="MS Mincho" w:hAnsi="MS Mincho" w:cs="MS Mincho" w:eastAsiaTheme="minorEastAsia"/>
          <w:color w:val="auto"/>
          <w:sz w:val="24"/>
        </w:rPr>
      </w:pPr>
    </w:p>
    <w:p>
      <w:pPr>
        <w:rPr>
          <w:rFonts w:hint="eastAsia" w:ascii="MS Mincho" w:hAnsi="MS Mincho" w:cs="MS Mincho" w:eastAsiaTheme="minorEastAsia"/>
          <w:color w:val="auto"/>
          <w:sz w:val="24"/>
        </w:rPr>
      </w:pPr>
    </w:p>
    <w:p>
      <w:pPr>
        <w:numPr>
          <w:ilvl w:val="0"/>
          <w:numId w:val="2"/>
        </w:numPr>
        <w:rPr>
          <w:rFonts w:hint="eastAsia" w:ascii="MS Mincho" w:hAnsi="MS Mincho" w:cs="MS Mincho" w:eastAsiaTheme="minorEastAsia"/>
          <w:color w:val="auto"/>
          <w:sz w:val="24"/>
        </w:rPr>
      </w:pPr>
      <w:r>
        <w:rPr>
          <w:rFonts w:hint="eastAsia" w:ascii="MS Mincho" w:hAnsi="MS Mincho" w:cs="MS Mincho" w:eastAsiaTheme="minorEastAsia"/>
          <w:color w:val="auto"/>
          <w:sz w:val="24"/>
        </w:rPr>
        <w:t>注释采用的格式</w:t>
      </w:r>
      <w:r>
        <w:rPr>
          <w:rFonts w:hint="eastAsia" w:ascii="MS Mincho" w:hAnsi="MS Mincho" w:cs="MS Mincho" w:eastAsiaTheme="minorEastAsia"/>
          <w:color w:val="auto"/>
          <w:sz w:val="24"/>
          <w:lang w:eastAsia="zh-CN"/>
        </w:rPr>
        <w:t>（以下格式是建议格式，但保证全文格式统一，是底线要求）</w:t>
      </w:r>
    </w:p>
    <w:p>
      <w:pPr>
        <w:numPr>
          <w:numId w:val="0"/>
        </w:numPr>
        <w:rPr>
          <w:rFonts w:hint="eastAsia" w:ascii="MS Mincho" w:hAnsi="MS Mincho" w:cs="MS Mincho" w:eastAsiaTheme="minorEastAsia"/>
          <w:color w:val="auto"/>
          <w:sz w:val="24"/>
        </w:rPr>
      </w:pP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MS Mincho" w:hAnsi="MS Mincho" w:cs="MS Mincho" w:eastAsiaTheme="minorEastAsia"/>
          <w:color w:val="auto"/>
          <w:sz w:val="24"/>
          <w:lang w:val="en-US" w:eastAsia="zh-CN"/>
        </w:rPr>
        <w:t xml:space="preserve">                  </w:t>
      </w:r>
      <w:r>
        <w:rPr>
          <w:rStyle w:val="15"/>
          <w:rFonts w:hint="eastAsia" w:asciiTheme="minorEastAsia" w:hAnsi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《中国社会科学》论文格式（建议格式）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A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普通图书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标注项目与顺序：（1）责任者与责任方式；（2）书名；（3）卷册；（4）出版地点（城市）；（5）出版者；（6）出版时间；（7）页码。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孔飞力：《叫魂》，陈兼、刘昶译，上海：上海三联书店，1999年，第207页。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戴裔煊：《〈明史·佛郎机传〉笺正》，北京：中国社会科学出版社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1984年，第6页。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冯玉祥：《我的读书生活》，三户图书刊行社，[出版时间不详]，第8页。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参阅张树年主编：《张元济年谱》，北京：商务印书馆，1991年，第6章。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B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析出文献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注项目与顺序：（1）作者；（2）析出文献名；（3）文集编者；（4）文集题名；（5）卷册；（6）出版地点（城市）；（7）出版者；（8）出版时间；（9）页码。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（一）文集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黄宗羲：《汪魏美先生墓志铭》，沈善洪主编：《黄宗羲全集》第10册，杭州：浙江古籍出版社，1992年，第382页。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陈序经：《教育的中国化和现代化》，杨深编：《走出东方——陈序经文化论著辑要》，北京：中国广播电视出版社，1995年，第208页。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唐振常：《师承与变法》，《识史集》，上海：上海古籍出版社，1997年，第65页。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（二）书信集、档案文献汇编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《复孙毓修函》，1911年6月3日，高平叔、王世儒编注：《蔡元培书信集》上册，杭州：浙江教育出版社，2000年，第99页。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《中共中央最近政治状况报告》，1927年10月，中央档案馆编：《中共中央政治报告选辑（1927—1933）》，北京：中共中央党校出版社，1983年，第20页。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（三）序跋、后记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李鹏程：《当代文化哲学沉思·序言》，北京：人民出版社，1994年，第2页。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楼适夷：《读家书，想傅雷（代序）》，傅敏编：《傅雷家书》（增补本），北京：三联书店，1988年，第1页。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C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古籍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一般情况下，引证古籍标注项目与顺序：（1）责任者与责任方式；（2）书名；（3）卷次；（4）部类名及篇名；（5）版本；（6）页码。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何晏注，邢昺疏：《论语注疏》，四部备要本，卷14，第5页。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何璘：《澧州志林》卷23《书李自成传后》，乾隆十五年刻本，第31—34页。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万历《广东通志》卷24《郡县志十一·广州府·人物二》，第2页。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袁大化修，王树楠等撰：《新疆图志》卷48《礼俗》，上海：上海古籍出版社，1992年影印本，第443页。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《明史》卷282《儒林一·罗钦顺传》，北京：中华书局，1987年，第7237页。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欧阳兆熊、金安清：《水窗春呓》，谢兴尧点校，北京：中华书局，1984年，第45页。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《资治通鉴》卷200，唐高宗永徽六年十月乙卯，北京：中华书局，1956年，第6293页。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《通典》卷54，北京：中华书局，1988年，第1508页。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D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期刊、报纸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（一）期刊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引证期刊中的文章，标注项目与顺序：（1）作者；（2）文章名称；（3）期刊名称；（4）卷册号及出版日期；（5）页码。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吴艳红：《明代流刑考》，《历史研究》2000年第6期，第34页。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王晴佳：《中国二十世纪史学与西方——论现代历史意识的产生》，《新史学》（台北）第9卷第1期，1998年3月，第55—82页。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（二）报纸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引证报纸中的文章，标注项目与顺序：（1）作者；（2）文章名称；（3）报纸名称；（4）出版日期；（5）版次。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《同业行规问题》，《申报》1930年10月31日，第9版。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《论东亚事宜》，《清议报》第2册，光绪二十四年十一月廿一日，北京：中华书局，1991年影印本，总第89页。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F 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外文文献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（一）引证外文文献，原则上应使用该文种通行的引证标注方式。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（二）引证英文文献的标注方式：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1．引证专著（编著、译著），标注项目与顺序：（1）作者；（2）书名（斜体）；（3）出版地点；（4）出版者；（5）出版时间；（6）页码。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Randolph Starn and Loren Part ridge ,</w:t>
      </w:r>
      <w:r>
        <w:rPr>
          <w:rStyle w:val="16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The A rts of Power : Three Halls of S tate in Italy ,1300—1600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, Berkeley : University of California University,1992,pp.19—28.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M. Polo , </w:t>
      </w:r>
      <w:r>
        <w:rPr>
          <w:rStyle w:val="16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The Travels of Marco Polo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, trans. by William Marsden , Hertfordshire :Cumberland House,1997,pp.55,88.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T. H. Aston and C. H. E. Phlipin (eds. ) ,</w:t>
      </w:r>
      <w:r>
        <w:rPr>
          <w:rStyle w:val="16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The Brenner Debate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, Cambridge : Cambridge University Press, 1985,p.35.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2．引证期刊中的文章，标注项目与顺序：（1）作者；（2）文章名称；（3）期刊名称（斜体）；（4）卷期号；（5）出版时间；（6）页码。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Heath B. Chamberlain ,“On the Search for Civil Society in China ,”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6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Modern China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,vol.19, no.2 (April 1993) ,pp.199—215.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3．引证文集中的析出文献，标注项目与顺序：（1）作者；（2）文章名；（3）编者；（4）文集名（斜体）；（5）出版地点；（6）出版者；（7）出版时间；（8）页码。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R. S. Schfield ,"The Impact of Scarcity and Plenty on Population Change in England ,"in R. I. Rotberg and T. K. Rabb (eds. ) ,</w:t>
      </w:r>
      <w:r>
        <w:rPr>
          <w:rStyle w:val="16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Hunger and History : The Impact of Changing Food Production and Consum ption Pat tern on Societ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, Cambridge : Cambridge University Press,1983,p.79.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G 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未刊文献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（一）学位论文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方明东：《罗隆基政治思想研究（1913—1949）》，博士学位论文，北京师范大学历史系，2000年，第67页。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（二）会议论文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中岛乐章：《明前期徽州的民事诉讼个案研究》，国际徽学研讨会论文，安徽绩溪，1998年，第9页。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（三）未刊手稿、函电等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《蒋介石日记》，毛思诚分类摘抄本，中国第二历史档案馆藏。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《陈云致王明信》，1937年5月16日，缩微胶卷，俄罗斯当代文献保管与研究中心藏，495/74/290。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《傅良佐致国务院电》，1917年9月15日，中国第二历史档案馆藏，北洋档案1011—5961。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H</w:t>
      </w:r>
      <w:r>
        <w:rPr>
          <w:rStyle w:val="15"/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4"/>
          <w:szCs w:val="24"/>
          <w:shd w:val="clear" w:fill="FFFFFF"/>
        </w:rPr>
        <w:t>其他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（一）同一文献再次引证时可以将出版信息（出版地点、出版者、出版时间）省略。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戴裔煊：《〈明史·佛郎机传〉笺正》，第8页。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（二）再次引证同一文献时，第二责任者（译者、点校者）可以省略。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孔飞力：《叫魂》，第210页。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（三）析出文献再次引证时，可以根据情况将论文集、资料集、档案集的编者省略。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陈序经：《全盘西化的辩护》，《走出东方——陈序经文化论著辑要》，第280—283页。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（四）转引文献，须注明原文献出版信息。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《宁波罢市风潮》，《新闻报》1919年6月9日，第2张，第2版，转引自冯筱才：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 w:line="456" w:lineRule="atLeast"/>
        <w:ind w:left="0" w:right="0" w:firstLine="0"/>
        <w:jc w:val="left"/>
        <w:rPr>
          <w:rFonts w:hint="eastAsia" w:ascii="Arial" w:hAnsi="Arial" w:cs="Arial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《罢市与抵货运动中的江浙商人：以“五四”、“五卅”为中心》，《近代史研究》2003年第1期，第114页。</w:t>
      </w:r>
    </w:p>
    <w:p>
      <w:pPr>
        <w:rPr>
          <w:rFonts w:hint="eastAsia" w:ascii="Arial" w:hAnsi="Arial" w:cs="Arial"/>
          <w:color w:val="auto"/>
          <w:kern w:val="0"/>
          <w:sz w:val="24"/>
        </w:rPr>
      </w:pPr>
    </w:p>
    <w:p>
      <w:pPr>
        <w:numPr>
          <w:numId w:val="0"/>
        </w:numPr>
        <w:spacing w:line="360" w:lineRule="auto"/>
        <w:rPr>
          <w:rFonts w:hint="eastAsia" w:ascii="黑体" w:hAnsi="黑体" w:eastAsia="黑体"/>
          <w:b/>
          <w:color w:val="auto"/>
          <w:sz w:val="24"/>
        </w:rPr>
      </w:pPr>
      <w:r>
        <w:rPr>
          <w:rFonts w:hint="eastAsia" w:ascii="黑体" w:hAnsi="黑体" w:eastAsia="黑体"/>
          <w:b/>
          <w:color w:val="auto"/>
          <w:sz w:val="24"/>
          <w:lang w:eastAsia="zh-CN"/>
        </w:rPr>
        <w:t>四、</w:t>
      </w:r>
      <w:r>
        <w:rPr>
          <w:rFonts w:hint="eastAsia" w:ascii="黑体" w:hAnsi="黑体" w:eastAsia="黑体"/>
          <w:b/>
          <w:color w:val="auto"/>
          <w:sz w:val="24"/>
        </w:rPr>
        <w:t>参考文献</w:t>
      </w:r>
    </w:p>
    <w:p>
      <w:pPr>
        <w:numPr>
          <w:numId w:val="0"/>
        </w:num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参考文献是指你的论文中参考了哪些重要文献材料，包括理论、作品等。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1.参考文献一定要放在论文正文的结尾。一般而言，论文正文结束后，空三行，植入“参考文献”。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2.参考文献的排序：先理论部分，再作品部分。其中，无论是理论还是作品，先著作或书籍，然后再列上论文或单篇作品。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3.参考文献的排列，不必标注有关页码，只需要列示著作、论文或作品的相关信息即可。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例：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朱寨主编：《中国当代文学思潮史》，人民文学出版社1987年。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刘增杰：《云起云飞：20世纪中国文学思潮研究透视》，上海文艺出版社1997年。</w:t>
      </w: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李鹏程：《当代文化哲学沉思》，人民出版社1994年</w:t>
      </w:r>
      <w:r>
        <w:rPr>
          <w:rFonts w:hint="eastAsia"/>
          <w:color w:val="auto"/>
          <w:sz w:val="24"/>
          <w:lang w:eastAsia="zh-CN"/>
        </w:rPr>
        <w:t>。</w:t>
      </w:r>
    </w:p>
    <w:p>
      <w:pPr>
        <w:spacing w:line="360" w:lineRule="auto"/>
        <w:rPr>
          <w:rFonts w:hint="eastAsia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吴艳红：《明代流刑考》，《历史研究》2000年第6期</w:t>
      </w:r>
      <w:r>
        <w:rPr>
          <w:rFonts w:hint="eastAsia"/>
          <w:color w:val="auto"/>
          <w:sz w:val="24"/>
          <w:lang w:eastAsia="zh-CN"/>
        </w:rPr>
        <w:t>。</w:t>
      </w:r>
    </w:p>
    <w:p>
      <w:pPr>
        <w:rPr>
          <w:rFonts w:hint="eastAsia" w:ascii="楷体" w:hAnsi="楷体" w:eastAsia="楷体"/>
          <w:color w:val="auto"/>
          <w:sz w:val="24"/>
        </w:rPr>
      </w:pPr>
    </w:p>
    <w:p>
      <w:pPr>
        <w:rPr>
          <w:rFonts w:hint="eastAsia" w:ascii="黑体" w:hAnsi="黑体" w:eastAsia="黑体"/>
          <w:color w:val="auto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4CB17"/>
    <w:multiLevelType w:val="singleLevel"/>
    <w:tmpl w:val="5B14CB17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B14CD1C"/>
    <w:multiLevelType w:val="singleLevel"/>
    <w:tmpl w:val="5B14CD1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D2"/>
    <w:rsid w:val="00006C41"/>
    <w:rsid w:val="00025265"/>
    <w:rsid w:val="000B7401"/>
    <w:rsid w:val="002D2DE9"/>
    <w:rsid w:val="00311F17"/>
    <w:rsid w:val="0037658D"/>
    <w:rsid w:val="003D688C"/>
    <w:rsid w:val="004A5176"/>
    <w:rsid w:val="00511B19"/>
    <w:rsid w:val="005C0C5B"/>
    <w:rsid w:val="00681D69"/>
    <w:rsid w:val="007B6713"/>
    <w:rsid w:val="007D67C7"/>
    <w:rsid w:val="009B4931"/>
    <w:rsid w:val="009D7BE7"/>
    <w:rsid w:val="00A24C64"/>
    <w:rsid w:val="00A32723"/>
    <w:rsid w:val="00A828D5"/>
    <w:rsid w:val="00B71151"/>
    <w:rsid w:val="00BE2541"/>
    <w:rsid w:val="00C66DF2"/>
    <w:rsid w:val="00D55FC8"/>
    <w:rsid w:val="00DC6EB9"/>
    <w:rsid w:val="00E65C8C"/>
    <w:rsid w:val="00ED2E38"/>
    <w:rsid w:val="00ED5AA5"/>
    <w:rsid w:val="00F1274B"/>
    <w:rsid w:val="00F13E64"/>
    <w:rsid w:val="00FB4ED2"/>
    <w:rsid w:val="00FC6D21"/>
    <w:rsid w:val="00FF631B"/>
    <w:rsid w:val="6A83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4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5"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6"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4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2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Emphasis"/>
    <w:basedOn w:val="14"/>
    <w:qFormat/>
    <w:uiPriority w:val="0"/>
    <w:rPr>
      <w:i/>
      <w:iCs/>
    </w:rPr>
  </w:style>
  <w:style w:type="character" w:customStyle="1" w:styleId="18">
    <w:name w:val="标题 1 Char"/>
    <w:basedOn w:val="14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3 Char"/>
    <w:basedOn w:val="14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21">
    <w:name w:val="标题 4 Char"/>
    <w:basedOn w:val="14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2">
    <w:name w:val="标题 5 Char"/>
    <w:basedOn w:val="14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23">
    <w:name w:val="标题 6 Char"/>
    <w:basedOn w:val="14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4">
    <w:name w:val="标题 7 Char"/>
    <w:basedOn w:val="14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25">
    <w:name w:val="标题 8 Char"/>
    <w:basedOn w:val="14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6">
    <w:name w:val="标题 9 Char"/>
    <w:basedOn w:val="14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7">
    <w:name w:val="标题 Char"/>
    <w:basedOn w:val="14"/>
    <w:link w:val="13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8">
    <w:name w:val="副标题 Char"/>
    <w:basedOn w:val="14"/>
    <w:link w:val="11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9">
    <w:name w:val="No Spacing"/>
    <w:basedOn w:val="1"/>
    <w:qFormat/>
    <w:uiPriority w:val="99"/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styleId="31">
    <w:name w:val="Quote"/>
    <w:basedOn w:val="1"/>
    <w:next w:val="1"/>
    <w:link w:val="32"/>
    <w:qFormat/>
    <w:uiPriority w:val="99"/>
    <w:rPr>
      <w:i/>
      <w:iCs/>
      <w:color w:val="000000" w:themeColor="text1"/>
    </w:rPr>
  </w:style>
  <w:style w:type="character" w:customStyle="1" w:styleId="32">
    <w:name w:val="引用 Char"/>
    <w:basedOn w:val="14"/>
    <w:link w:val="31"/>
    <w:qFormat/>
    <w:uiPriority w:val="99"/>
    <w:rPr>
      <w:i/>
      <w:iCs/>
      <w:color w:val="000000" w:themeColor="text1"/>
      <w:kern w:val="2"/>
      <w:sz w:val="21"/>
      <w:szCs w:val="24"/>
    </w:rPr>
  </w:style>
  <w:style w:type="paragraph" w:styleId="33">
    <w:name w:val="Intense Quote"/>
    <w:basedOn w:val="1"/>
    <w:next w:val="1"/>
    <w:link w:val="34"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34">
    <w:name w:val="明显引用 Char"/>
    <w:basedOn w:val="14"/>
    <w:link w:val="33"/>
    <w:qFormat/>
    <w:uiPriority w:val="99"/>
    <w:rPr>
      <w:b/>
      <w:bCs/>
      <w:i/>
      <w:iCs/>
      <w:color w:val="4F81BD" w:themeColor="accent1"/>
      <w:kern w:val="2"/>
      <w:sz w:val="21"/>
      <w:szCs w:val="24"/>
    </w:rPr>
  </w:style>
  <w:style w:type="character" w:customStyle="1" w:styleId="35">
    <w:name w:val="Subtle Emphasis"/>
    <w:qFormat/>
    <w:uiPriority w:val="19"/>
    <w:rPr>
      <w:i/>
      <w:iCs/>
      <w:color w:val="7F7F7F" w:themeColor="text1" w:themeTint="7F"/>
    </w:rPr>
  </w:style>
  <w:style w:type="character" w:customStyle="1" w:styleId="36">
    <w:name w:val="Intense Emphasis"/>
    <w:basedOn w:val="14"/>
    <w:qFormat/>
    <w:uiPriority w:val="21"/>
    <w:rPr>
      <w:b/>
      <w:bCs/>
      <w:i/>
      <w:iCs/>
      <w:color w:val="4F81BD" w:themeColor="accent1"/>
    </w:rPr>
  </w:style>
  <w:style w:type="character" w:customStyle="1" w:styleId="37">
    <w:name w:val="Subtle Reference"/>
    <w:basedOn w:val="14"/>
    <w:qFormat/>
    <w:uiPriority w:val="31"/>
    <w:rPr>
      <w:smallCaps/>
      <w:color w:val="C0504D" w:themeColor="accent2"/>
      <w:u w:val="single"/>
    </w:rPr>
  </w:style>
  <w:style w:type="character" w:customStyle="1" w:styleId="38">
    <w:name w:val="Intense Reference"/>
    <w:basedOn w:val="14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39">
    <w:name w:val="Book Title"/>
    <w:basedOn w:val="14"/>
    <w:qFormat/>
    <w:uiPriority w:val="33"/>
    <w:rPr>
      <w:b/>
      <w:bCs/>
      <w:smallCaps/>
      <w:spacing w:val="5"/>
    </w:rPr>
  </w:style>
  <w:style w:type="paragraph" w:customStyle="1" w:styleId="40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227731-188E-442E-A676-1C2360A1C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232</Words>
  <Characters>1328</Characters>
  <Lines>11</Lines>
  <Paragraphs>3</Paragraphs>
  <TotalTime>0</TotalTime>
  <ScaleCrop>false</ScaleCrop>
  <LinksUpToDate>false</LinksUpToDate>
  <CharactersWithSpaces>1557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2018-05-03T02:08:00Z</dcterms:created>
  <dc:creator>Microsoft</dc:creator>
  <cp:lastModifiedBy>dell-01</cp:lastModifiedBy>
  <dcterms:modified xsi:type="dcterms:W3CDTF">2018-06-04T05:17:37Z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