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hint="eastAsia" w:eastAsia="宋体"/>
          <w:b/>
          <w:bCs/>
          <w:color w:val="auto"/>
          <w:sz w:val="24"/>
          <w:lang w:eastAsia="zh-CN"/>
        </w:rPr>
      </w:pPr>
      <w:r>
        <w:rPr>
          <w:rFonts w:hint="eastAsia"/>
          <w:b/>
          <w:bCs/>
          <w:color w:val="auto"/>
          <w:sz w:val="24"/>
          <w:lang w:eastAsia="zh-CN"/>
        </w:rPr>
        <w:t>人文学院</w:t>
      </w:r>
      <w:r>
        <w:rPr>
          <w:rFonts w:hint="eastAsia"/>
          <w:b/>
          <w:bCs/>
          <w:color w:val="auto"/>
          <w:sz w:val="24"/>
        </w:rPr>
        <w:t>本科生毕业论文</w:t>
      </w:r>
      <w:r>
        <w:rPr>
          <w:rFonts w:hint="eastAsia"/>
          <w:b/>
          <w:bCs/>
          <w:color w:val="auto"/>
          <w:sz w:val="24"/>
          <w:lang w:eastAsia="zh-CN"/>
        </w:rPr>
        <w:t>（含学年论文、平时作业）引文及</w:t>
      </w:r>
      <w:r>
        <w:rPr>
          <w:rFonts w:hint="eastAsia"/>
          <w:b/>
          <w:bCs/>
          <w:color w:val="auto"/>
          <w:sz w:val="24"/>
        </w:rPr>
        <w:t>注释</w:t>
      </w:r>
      <w:r>
        <w:rPr>
          <w:rFonts w:hint="eastAsia"/>
          <w:b/>
          <w:bCs/>
          <w:color w:val="auto"/>
          <w:sz w:val="24"/>
          <w:lang w:eastAsia="zh-CN"/>
        </w:rPr>
        <w:t>规范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一、引用文字标注的基本要求：注释标号跟着引号走。注释标号一定要在下引号后面，并紧跟下引号。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在引用时，最关键的是如何处理下引号和逗、句号之间的关系。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例1：[上引号前面没有冒号，直接引用，逗号应在注释标号的后面]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通过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梁庄的老人、妇女、儿童，对梁庄的自然环境，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勾勒、描述梁庄这将近半个世纪的历史命运、生存图景和精神图景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①，从而完成了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 xml:space="preserve"> 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例2：[上引号前面有冒号，完整引用，句号应在下引号的里面]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阿来更是直言不讳地强调：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我所以对有清一代瞻对的地方史产生兴趣，是因为察觉到这部地方史正是整个川属藏族地区，几百上千年历史的一个缩影，一个典型样本。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①为此，他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 xml:space="preserve"> 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例3：[上引号前面是逗号，摘要性引用关键论述，句号应在注释标号的后面]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博德里亚尔就认为，这是人类自我导演的一场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完美的罪行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>：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大众传媒的</w:t>
      </w:r>
      <w:r>
        <w:rPr>
          <w:color w:val="auto"/>
          <w:sz w:val="24"/>
        </w:rPr>
        <w:t>‘</w:t>
      </w:r>
      <w:r>
        <w:rPr>
          <w:rFonts w:hint="eastAsia"/>
          <w:color w:val="auto"/>
          <w:sz w:val="24"/>
        </w:rPr>
        <w:t>表现</w:t>
      </w:r>
      <w:r>
        <w:rPr>
          <w:color w:val="auto"/>
          <w:sz w:val="24"/>
        </w:rPr>
        <w:t>’</w:t>
      </w:r>
      <w:r>
        <w:rPr>
          <w:rFonts w:hint="eastAsia"/>
          <w:color w:val="auto"/>
          <w:sz w:val="24"/>
        </w:rPr>
        <w:t>就导致一种普遍的虚拟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身体的虚拟（遗传基因码和染色体组）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>、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人工智能不经意落入了一个太高的清晰度、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此现象仅仅证明这是已实现的对思维的空想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①。 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务必注意，注释标号的具体位置。</w:t>
      </w:r>
    </w:p>
    <w:p>
      <w:pPr>
        <w:rPr>
          <w:rFonts w:hint="eastAsia"/>
          <w:color w:val="auto"/>
          <w:sz w:val="24"/>
        </w:rPr>
      </w:pPr>
    </w:p>
    <w:p>
      <w:pPr>
        <w:numPr>
          <w:ilvl w:val="0"/>
          <w:numId w:val="1"/>
        </w:numPr>
        <w:rPr>
          <w:rFonts w:hint="eastAsia" w:ascii="MS Mincho" w:hAnsi="MS Mincho" w:cs="MS Mincho" w:eastAsiaTheme="minorEastAsia"/>
          <w:color w:val="auto"/>
          <w:sz w:val="24"/>
        </w:rPr>
      </w:pPr>
      <w:r>
        <w:rPr>
          <w:rFonts w:hint="eastAsia"/>
          <w:color w:val="auto"/>
          <w:sz w:val="24"/>
        </w:rPr>
        <w:t>论文</w:t>
      </w:r>
      <w:r>
        <w:rPr>
          <w:rFonts w:hint="eastAsia"/>
          <w:color w:val="auto"/>
          <w:sz w:val="24"/>
          <w:lang w:eastAsia="zh-CN"/>
        </w:rPr>
        <w:t>正文</w:t>
      </w:r>
      <w:r>
        <w:rPr>
          <w:rFonts w:hint="eastAsia"/>
          <w:color w:val="auto"/>
          <w:sz w:val="24"/>
        </w:rPr>
        <w:t>注释一律采用当页底注（又称脚注），每页重新编号，选择自动生成的方式。具体编号方式采用①②③④⑤⑥⑦⑧⑨⑩</w:t>
      </w:r>
      <w:r>
        <w:rPr>
          <w:rFonts w:hint="eastAsia" w:ascii="MS Mincho" w:hAnsi="MS Mincho" w:eastAsia="MS Mincho" w:cs="MS Mincho"/>
          <w:color w:val="auto"/>
          <w:sz w:val="24"/>
        </w:rPr>
        <w:t>⑪⑫⑬⑭⑮⑯⑰⑱⑲</w:t>
      </w:r>
      <w:r>
        <w:rPr>
          <w:rFonts w:hint="eastAsia" w:ascii="MS Mincho" w:hAnsi="MS Mincho" w:cs="MS Mincho" w:eastAsiaTheme="minorEastAsia"/>
          <w:color w:val="auto"/>
          <w:sz w:val="24"/>
        </w:rPr>
        <w:t>……</w:t>
      </w:r>
    </w:p>
    <w:p>
      <w:pPr>
        <w:numPr>
          <w:ilvl w:val="0"/>
          <w:numId w:val="0"/>
        </w:num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numPr>
          <w:ilvl w:val="0"/>
          <w:numId w:val="2"/>
        </w:numPr>
        <w:rPr>
          <w:rFonts w:hint="eastAsia" w:ascii="MS Mincho" w:hAnsi="MS Mincho" w:cs="MS Mincho" w:eastAsiaTheme="minorEastAsia"/>
          <w:color w:val="auto"/>
          <w:sz w:val="24"/>
        </w:rPr>
      </w:pPr>
      <w:r>
        <w:rPr>
          <w:rFonts w:hint="eastAsia" w:ascii="MS Mincho" w:hAnsi="MS Mincho" w:cs="MS Mincho" w:eastAsiaTheme="minorEastAsia"/>
          <w:color w:val="auto"/>
          <w:sz w:val="24"/>
        </w:rPr>
        <w:t>注释采用的格式</w:t>
      </w:r>
      <w:r>
        <w:rPr>
          <w:rFonts w:hint="eastAsia" w:ascii="MS Mincho" w:hAnsi="MS Mincho" w:cs="MS Mincho" w:eastAsiaTheme="minorEastAsia"/>
          <w:color w:val="auto"/>
          <w:sz w:val="24"/>
          <w:lang w:eastAsia="zh-CN"/>
        </w:rPr>
        <w:t>（以下格式是建议格式，但保证全文格式统一，是底线要求）</w:t>
      </w:r>
    </w:p>
    <w:p>
      <w:pPr>
        <w:numPr>
          <w:ilvl w:val="0"/>
          <w:numId w:val="0"/>
        </w:num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="MS Mincho" w:hAnsi="MS Mincho" w:cs="MS Mincho" w:eastAsia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MS Mincho" w:hAnsi="MS Mincho" w:cs="MS Mincho" w:eastAsiaTheme="minorEastAsia"/>
          <w:color w:val="auto"/>
          <w:sz w:val="24"/>
          <w:lang w:val="en-US" w:eastAsia="zh-CN"/>
        </w:rPr>
        <w:t xml:space="preserve"> 具体格式，参照</w:t>
      </w:r>
      <w:r>
        <w:rPr>
          <w:rFonts w:hint="eastAsia" w:ascii="MS Mincho" w:hAnsi="MS Mincho" w:cs="MS Mincho" w:eastAsiaTheme="minorEastAsia"/>
          <w:color w:val="auto"/>
          <w:kern w:val="2"/>
          <w:sz w:val="24"/>
          <w:szCs w:val="24"/>
          <w:lang w:val="en-US" w:eastAsia="zh-CN" w:bidi="ar-SA"/>
        </w:rPr>
        <w:t>《中国社会科学》论文格式，如下：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A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普通图书</w:t>
      </w:r>
      <w:bookmarkStart w:id="0" w:name="_GoBack"/>
      <w:bookmarkEnd w:id="0"/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标注项目与顺序：（1）责任者与责任方式；（2）书名；（3）卷册；（4）出版地点（城市）；（5）出版者；（6）出版时间；（7）页码。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孔飞力：《叫魂》，陈兼、刘昶译，上海：上海三联书店，1999年，第207页。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戴裔煊：《〈明史·佛郎机传〉笺正》，北京：中国社会科学出版社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1984年，第6页。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冯玉祥：《我的读书生活》，三户图书刊行社，[出版时间不详]，第8页。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参阅张树年主编：《张元济年谱》，北京：商务印书馆，1991年，第6章。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B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析出文献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注项目与顺序：（1）作者；（2）析出文献名；（3）文集编者；（4）文集题名；（5）卷册；（6）出版地点（城市）；（7）出版者；（8）出版时间；（9）页码。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（一）文集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黄宗羲：《汪魏美先生墓志铭》，沈善洪主编：《黄宗羲全集》第10册，杭州：浙江古籍出版社，1992年，第382页。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陈序经：《教育的中国化和现代化》，杨深编：《走出东方——陈序经文化论著辑要》，北京：中国广播电视出版社，1995年，第208页。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唐振常：《师承与变法》，《识史集》，上海：上海古籍出版社，1997年，第65页。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（二）书信集、档案文献汇编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《复孙毓修函》，1911年6月3日，高平叔、王世儒编注：《蔡元培书信集》上册，杭州：浙江教育出版社，2000年，第99页。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《中共中央最近政治状况报告》，1927年10月，中央档案馆编：《中共中央政治报告选辑（1927—1933）》，北京：中共中央党校出版社，1983年，第20页。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（三）序跋、后记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李鹏程：《当代文化哲学沉思·序言》，北京：人民出版社，1994年，第2页。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楼适夷：《读家书，想傅雷（代序）》，傅敏编：《傅雷家书》（增补本），北京：三联书店，1988年，第1页。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C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古籍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一般情况下，引证古籍标注项目与顺序：（1）责任者与责任方式；（2）书名；（3）卷次；（4）部类名及篇名；（5）版本；（6）页码。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何晏注，邢昺疏：《论语注疏》，四部备要本，卷14，第5页。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何璘：《澧州志林》卷23《书李自成传后》，乾隆十五年刻本，第31—34页。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万历《广东通志》卷24《郡县志十一·广州府·人物二》，第2页。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袁大化修，王树楠等撰：《新疆图志》卷48《礼俗》，上海：上海古籍出版社，1992年影印本，第443页。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《明史》卷282《儒林一·罗钦顺传》，北京：中华书局，1987年，第7237页。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欧阳兆熊、金安清：《水窗春呓》，谢兴尧点校，北京：中华书局，1984年，第45页。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《资治通鉴》卷200，唐高宗永徽六年十月乙卯，北京：中华书局，1956年，第6293页。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《通典》卷54，北京：中华书局，1988年，第1508页。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期刊、报纸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（一）期刊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引证期刊中的文章，标注项目与顺序：（1）作者；（2）文章名称；（3）期刊名称；（4）卷册号及出版日期；（5）页码。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吴艳红：《明代流刑考》，《历史研究》2000年第6期，第34页。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王晴佳：《中国二十世纪史学与西方——论现代历史意识的产生》，《新史学》（台北）第9卷第1期，1998年3月，第55—82页。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（二）报纸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引证报纸中的文章，标注项目与顺序：（1）作者；（2）文章名称；（3）报纸名称；（4）出版日期；（5）版次。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《同业行规问题》，《申报》1930年10月31日，第9版。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《论东亚事宜》，《清议报》第2册，光绪二十四年十一月廿一日，北京：中华书局，1991年影印本，总第89页。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F 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外文文献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（一）引证外文文献，原则上应使用该文种通行的引证标注方式。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（二）引证英文文献的标注方式：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1．引证专著（编著、译著），标注项目与顺序：（1）作者；（2）书名（斜体）；（3）出版地点；（4）出版者；（5）出版时间；（6）页码。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Randolph Starn and Loren Part ridge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A rts of Power : Three Halls of S tate in Italy ,1300—1600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Berkeley : University of California University,1992,pp.19—28.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M. Polo , 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Travels of Marco Polo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trans. by William Marsden , Hertfordshire :Cumberland House,1997,pp.55,88.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T. H. Aston and C. H. E. Phlipin (eds. )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Brenner Debate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Cambridge : Cambridge University Press, 1985,p.35.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2．引证期刊中的文章，标注项目与顺序：（1）作者；（2）文章名称；（3）期刊名称（斜体）；（4）卷期号；（5）出版时间；（6）页码。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Heath B. Chamberlain ,“On the Search for Civil Society in China ,”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Modern China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,vol.19, no.2 (April 1993) ,pp.199—215.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3．引证文集中的析出文献，标注项目与顺序：（1）作者；（2）文章名；（3）编者；（4）文集名（斜体）；（5）出版地点；（6）出版者；（7）出版时间；（8）页码。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R. S. Schfield ,"The Impact of Scarcity and Plenty on Population Change in England ,"in R. I. Rotberg and T. K. Rabb (eds. )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Hunger and History : The Impact of Changing Food Production and Consum ption Pat tern on Societ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Cambridge : Cambridge University Press,1983,p.79.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G 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未刊文献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（一）学位论文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方明东：《罗隆基政治思想研究（1913—1949）》，博士学位论文，北京师范大学历史系，2000年，第67页。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（二）会议论文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中岛乐章：《明前期徽州的民事诉讼个案研究》，国际徽学研讨会论文，安徽绩溪，1998年，第9页。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（三）未刊手稿、函电等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《蒋介石日记》，毛思诚分类摘抄本，中国第二历史档案馆藏。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《陈云致王明信》，1937年5月16日，缩微胶卷，俄罗斯当代文献保管与研究中心藏，495/74/290。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《傅良佐致国务院电》，1917年9月15日，中国第二历史档案馆藏，北洋档案1011—5961。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H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其他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（一）同一文献再次引证时可以将出版信息（出版地点、出版者、出版时间）省略。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戴裔煊：《〈明史·佛郎机传〉笺正》，第8页。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（二）再次引证同一文献时，第二责任者（译者、点校者）可以省略。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孔飞力：《叫魂》，第210页。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（三）析出文献再次引证时，可以根据情况将论文集、资料集、档案集的编者省略。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陈序经：《全盘西化的辩护》，《走出东方——陈序经文化论著辑要》，第280—283页。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（四）转引文献，须注明原文献出版信息。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《宁波罢市风潮》，《新闻报》1919年6月9日，第2张，第2版，转引自冯筱才：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="Arial" w:hAnsi="Arial" w:cs="Arial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《罢市与抵货运动中的江浙商人：以“五四”、“五卅”为中心》，《近代史研究》2003年第1期，第114页。</w:t>
      </w:r>
    </w:p>
    <w:p>
      <w:pPr>
        <w:rPr>
          <w:rFonts w:hint="eastAsia" w:ascii="Arial" w:hAnsi="Arial" w:cs="Arial"/>
          <w:color w:val="auto"/>
          <w:kern w:val="0"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黑体" w:hAnsi="黑体" w:eastAsia="黑体"/>
          <w:b/>
          <w:color w:val="auto"/>
          <w:sz w:val="24"/>
          <w:lang w:eastAsia="zh-CN"/>
        </w:rPr>
        <w:t>四、</w:t>
      </w:r>
      <w:r>
        <w:rPr>
          <w:rFonts w:hint="eastAsia" w:ascii="黑体" w:hAnsi="黑体" w:eastAsia="黑体"/>
          <w:b/>
          <w:color w:val="auto"/>
          <w:sz w:val="24"/>
        </w:rPr>
        <w:t>参考文献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参考文献是指你的论文中参考了哪些重要文献材料，包括理论、作品等。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1.参考文献一定要放在论文正文的结尾。一般而言，论文正文结束后，空三行，植入“参考文献”。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2.参考文献的排序：先理论部分，再作品部分。其中，无论是理论还是作品，先著作或书籍，然后再列上论文或单篇作品。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3.参考文献的排列，不必标注有关页码，只需要列示著作、论文或作品的相关信息即可。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例：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朱寨主编：《中国当代文学思潮史》，人民文学出版社1987年。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刘增杰：《云起云飞：20世纪中国文学思潮研究透视》，上海文艺出版社1997年。</w:t>
      </w: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李鹏程：《当代文化哲学沉思》，人民出版社1994年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吴艳红：《明代流刑考》，《历史研究》2000年第6期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rPr>
          <w:rFonts w:hint="eastAsia" w:ascii="楷体" w:hAnsi="楷体" w:eastAsia="楷体"/>
          <w:color w:val="auto"/>
          <w:sz w:val="24"/>
        </w:rPr>
      </w:pPr>
    </w:p>
    <w:p>
      <w:pPr>
        <w:rPr>
          <w:rFonts w:hint="eastAsia" w:ascii="黑体" w:hAnsi="黑体" w:eastAsia="黑体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CB17"/>
    <w:multiLevelType w:val="singleLevel"/>
    <w:tmpl w:val="5B14CB17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B14CD1C"/>
    <w:multiLevelType w:val="singleLevel"/>
    <w:tmpl w:val="5B14CD1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D2"/>
    <w:rsid w:val="00006C41"/>
    <w:rsid w:val="00025265"/>
    <w:rsid w:val="000B7401"/>
    <w:rsid w:val="002D2DE9"/>
    <w:rsid w:val="00311F17"/>
    <w:rsid w:val="0037658D"/>
    <w:rsid w:val="003D688C"/>
    <w:rsid w:val="004A5176"/>
    <w:rsid w:val="00511B19"/>
    <w:rsid w:val="005C0C5B"/>
    <w:rsid w:val="00681D69"/>
    <w:rsid w:val="007B6713"/>
    <w:rsid w:val="007D67C7"/>
    <w:rsid w:val="009B4931"/>
    <w:rsid w:val="009D7BE7"/>
    <w:rsid w:val="00A24C64"/>
    <w:rsid w:val="00A32723"/>
    <w:rsid w:val="00A828D5"/>
    <w:rsid w:val="00B71151"/>
    <w:rsid w:val="00BE2541"/>
    <w:rsid w:val="00C66DF2"/>
    <w:rsid w:val="00D55FC8"/>
    <w:rsid w:val="00DC6EB9"/>
    <w:rsid w:val="00E65C8C"/>
    <w:rsid w:val="00ED2E38"/>
    <w:rsid w:val="00ED5AA5"/>
    <w:rsid w:val="00F1274B"/>
    <w:rsid w:val="00F13E64"/>
    <w:rsid w:val="00FB4ED2"/>
    <w:rsid w:val="00FC6D21"/>
    <w:rsid w:val="00FF631B"/>
    <w:rsid w:val="2E6C1869"/>
    <w:rsid w:val="38B36B84"/>
    <w:rsid w:val="5D0F5520"/>
    <w:rsid w:val="6A8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Emphasis"/>
    <w:basedOn w:val="14"/>
    <w:qFormat/>
    <w:uiPriority w:val="0"/>
    <w:rPr>
      <w:i/>
      <w:iCs/>
    </w:rPr>
  </w:style>
  <w:style w:type="character" w:customStyle="1" w:styleId="18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4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4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basedOn w:val="14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Char"/>
    <w:basedOn w:val="14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25">
    <w:name w:val="标题 8 Char"/>
    <w:basedOn w:val="14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">
    <w:name w:val="标题 9 Char"/>
    <w:basedOn w:val="14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7">
    <w:name w:val="标题 Char"/>
    <w:basedOn w:val="14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8">
    <w:name w:val="副标题 Char"/>
    <w:basedOn w:val="14"/>
    <w:link w:val="11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basedOn w:val="1"/>
    <w:qFormat/>
    <w:uiPriority w:val="99"/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styleId="31">
    <w:name w:val="Quote"/>
    <w:basedOn w:val="1"/>
    <w:next w:val="1"/>
    <w:link w:val="32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引用 Char"/>
    <w:basedOn w:val="14"/>
    <w:link w:val="31"/>
    <w:qFormat/>
    <w:uiPriority w:val="99"/>
    <w:rPr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styleId="33">
    <w:name w:val="Intense Quote"/>
    <w:basedOn w:val="1"/>
    <w:next w:val="1"/>
    <w:link w:val="34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">
    <w:name w:val="明显引用 Char"/>
    <w:basedOn w:val="14"/>
    <w:link w:val="33"/>
    <w:qFormat/>
    <w:uiPriority w:val="99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5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8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9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27731-188E-442E-A676-1C2360A1C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1328</Characters>
  <Lines>11</Lines>
  <Paragraphs>3</Paragraphs>
  <TotalTime>1011</TotalTime>
  <ScaleCrop>false</ScaleCrop>
  <LinksUpToDate>false</LinksUpToDate>
  <CharactersWithSpaces>1557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2018-05-03T02:08:00Z</dcterms:created>
  <dc:creator>Microsoft</dc:creator>
  <cp:lastModifiedBy>虛己服人</cp:lastModifiedBy>
  <dcterms:modified xsi:type="dcterms:W3CDTF">2018-10-16T01:01:11Z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