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3" w:firstLineChars="200"/>
        <w:rPr>
          <w:rFonts w:hint="eastAsia" w:eastAsia="宋体"/>
          <w:b/>
          <w:bCs/>
          <w:color w:val="auto"/>
          <w:sz w:val="32"/>
          <w:szCs w:val="32"/>
          <w:lang w:eastAsia="zh-CN"/>
        </w:rPr>
      </w:pPr>
      <w:r>
        <w:rPr>
          <w:rFonts w:hint="eastAsia"/>
          <w:b/>
          <w:bCs/>
          <w:color w:val="auto"/>
          <w:sz w:val="32"/>
          <w:szCs w:val="32"/>
          <w:lang w:eastAsia="zh-CN"/>
        </w:rPr>
        <w:t>人文学院</w:t>
      </w:r>
      <w:r>
        <w:rPr>
          <w:rFonts w:hint="eastAsia"/>
          <w:b/>
          <w:bCs/>
          <w:color w:val="auto"/>
          <w:sz w:val="32"/>
          <w:szCs w:val="32"/>
        </w:rPr>
        <w:t>本科生毕业论文</w:t>
      </w:r>
      <w:r>
        <w:rPr>
          <w:rFonts w:hint="eastAsia"/>
          <w:b/>
          <w:bCs/>
          <w:color w:val="auto"/>
          <w:sz w:val="32"/>
          <w:szCs w:val="32"/>
          <w:lang w:eastAsia="zh-CN"/>
        </w:rPr>
        <w:t>（含学年论文、平时作业）引文及</w:t>
      </w:r>
      <w:r>
        <w:rPr>
          <w:rFonts w:hint="eastAsia"/>
          <w:b/>
          <w:bCs/>
          <w:color w:val="auto"/>
          <w:sz w:val="32"/>
          <w:szCs w:val="32"/>
        </w:rPr>
        <w:t>注释</w:t>
      </w:r>
      <w:r>
        <w:rPr>
          <w:rFonts w:hint="eastAsia"/>
          <w:b/>
          <w:bCs/>
          <w:color w:val="auto"/>
          <w:sz w:val="32"/>
          <w:szCs w:val="32"/>
          <w:lang w:eastAsia="zh-CN"/>
        </w:rPr>
        <w:t>规范</w:t>
      </w:r>
    </w:p>
    <w:p>
      <w:pPr>
        <w:rPr>
          <w:rFonts w:hint="eastAsia"/>
          <w:color w:val="auto"/>
          <w:sz w:val="24"/>
        </w:rPr>
      </w:pPr>
    </w:p>
    <w:p>
      <w:pPr>
        <w:rPr>
          <w:rFonts w:hint="eastAsia"/>
          <w:color w:val="auto"/>
          <w:sz w:val="24"/>
        </w:rPr>
      </w:pPr>
    </w:p>
    <w:p>
      <w:pPr>
        <w:tabs>
          <w:tab w:val="left" w:pos="720"/>
        </w:tabs>
        <w:spacing w:line="360" w:lineRule="auto"/>
        <w:rPr>
          <w:color w:val="auto"/>
          <w:sz w:val="24"/>
        </w:rPr>
      </w:pPr>
      <w:r>
        <w:rPr>
          <w:rFonts w:hint="eastAsia"/>
          <w:b/>
          <w:bCs/>
          <w:color w:val="auto"/>
          <w:sz w:val="24"/>
        </w:rPr>
        <w:t>一、引用文字标注的基本要求</w:t>
      </w:r>
      <w:r>
        <w:rPr>
          <w:rFonts w:hint="eastAsia"/>
          <w:color w:val="auto"/>
          <w:sz w:val="24"/>
        </w:rPr>
        <w:t>：注释标号跟着引号走。注释标号一定要在下引号后面，并紧跟下引号。</w:t>
      </w:r>
    </w:p>
    <w:p>
      <w:pPr>
        <w:tabs>
          <w:tab w:val="left" w:pos="720"/>
        </w:tabs>
        <w:spacing w:line="360" w:lineRule="auto"/>
        <w:rPr>
          <w:color w:val="auto"/>
          <w:sz w:val="24"/>
        </w:rPr>
      </w:pPr>
      <w:r>
        <w:rPr>
          <w:rFonts w:hint="eastAsia"/>
          <w:color w:val="auto"/>
          <w:sz w:val="24"/>
        </w:rPr>
        <w:t>在引用时，最关键的是如何处理下引号和逗、句号之间的关系。</w:t>
      </w:r>
    </w:p>
    <w:p>
      <w:pPr>
        <w:tabs>
          <w:tab w:val="left" w:pos="720"/>
        </w:tabs>
        <w:spacing w:line="360" w:lineRule="auto"/>
        <w:rPr>
          <w:color w:val="auto"/>
          <w:sz w:val="24"/>
        </w:rPr>
      </w:pPr>
      <w:r>
        <w:rPr>
          <w:rFonts w:hint="eastAsia"/>
          <w:color w:val="auto"/>
          <w:sz w:val="24"/>
        </w:rPr>
        <w:t>例1：[上引号前面没有冒号，直接引用，逗号应在注释标号的后面]</w:t>
      </w:r>
    </w:p>
    <w:p>
      <w:pPr>
        <w:tabs>
          <w:tab w:val="left" w:pos="720"/>
        </w:tabs>
        <w:spacing w:line="360" w:lineRule="auto"/>
        <w:rPr>
          <w:b/>
          <w:bCs/>
          <w:color w:val="auto"/>
          <w:sz w:val="24"/>
        </w:rPr>
      </w:pPr>
      <w:r>
        <w:rPr>
          <w:rFonts w:hint="eastAsia"/>
          <w:color w:val="auto"/>
          <w:sz w:val="24"/>
        </w:rPr>
        <w:t>通过</w:t>
      </w:r>
      <w:r>
        <w:rPr>
          <w:color w:val="auto"/>
          <w:sz w:val="24"/>
        </w:rPr>
        <w:t>“</w:t>
      </w:r>
      <w:r>
        <w:rPr>
          <w:rFonts w:hint="eastAsia"/>
          <w:color w:val="auto"/>
          <w:sz w:val="24"/>
        </w:rPr>
        <w:t>梁庄的老人、妇女、儿童，对梁庄的自然环境，</w:t>
      </w:r>
      <w:r>
        <w:rPr>
          <w:color w:val="auto"/>
          <w:sz w:val="24"/>
        </w:rPr>
        <w:t>……</w:t>
      </w:r>
      <w:r>
        <w:rPr>
          <w:rFonts w:hint="eastAsia"/>
          <w:color w:val="auto"/>
          <w:sz w:val="24"/>
        </w:rPr>
        <w:t>勾勒、描述梁庄这将近半个世纪的历史命运、生存图景和精神图景</w:t>
      </w:r>
      <w:r>
        <w:rPr>
          <w:color w:val="auto"/>
          <w:sz w:val="24"/>
        </w:rPr>
        <w:t>”</w:t>
      </w:r>
      <w:r>
        <w:rPr>
          <w:rFonts w:hint="eastAsia"/>
          <w:color w:val="auto"/>
          <w:sz w:val="24"/>
        </w:rPr>
        <w:t xml:space="preserve"> ①，从而完成了</w:t>
      </w:r>
      <w:r>
        <w:rPr>
          <w:color w:val="auto"/>
          <w:sz w:val="24"/>
        </w:rPr>
        <w:t>……</w:t>
      </w:r>
      <w:r>
        <w:rPr>
          <w:rFonts w:hint="eastAsia"/>
          <w:color w:val="auto"/>
          <w:sz w:val="24"/>
        </w:rPr>
        <w:t xml:space="preserve"> </w:t>
      </w:r>
    </w:p>
    <w:p>
      <w:pPr>
        <w:spacing w:line="360" w:lineRule="auto"/>
        <w:rPr>
          <w:color w:val="auto"/>
          <w:sz w:val="24"/>
        </w:rPr>
      </w:pPr>
      <w:r>
        <w:rPr>
          <w:rFonts w:hint="eastAsia"/>
          <w:color w:val="auto"/>
          <w:sz w:val="24"/>
        </w:rPr>
        <w:t>例2：[上引号前面有冒号，完整引用，句号应在下引号的里面]</w:t>
      </w:r>
    </w:p>
    <w:p>
      <w:pPr>
        <w:spacing w:line="360" w:lineRule="auto"/>
        <w:rPr>
          <w:color w:val="auto"/>
          <w:sz w:val="24"/>
        </w:rPr>
      </w:pPr>
      <w:r>
        <w:rPr>
          <w:rFonts w:hint="eastAsia"/>
          <w:color w:val="auto"/>
          <w:sz w:val="24"/>
        </w:rPr>
        <w:t>阿来更是直言不讳地强调：</w:t>
      </w:r>
      <w:r>
        <w:rPr>
          <w:color w:val="auto"/>
          <w:sz w:val="24"/>
        </w:rPr>
        <w:t>“</w:t>
      </w:r>
      <w:r>
        <w:rPr>
          <w:rFonts w:hint="eastAsia"/>
          <w:color w:val="auto"/>
          <w:sz w:val="24"/>
        </w:rPr>
        <w:t>我所以对有清一代瞻对的地方史产生兴趣，是因为察觉到这部地方史正是整个川属藏族地区，几百上千年历史的一个缩影，一个典型样本。</w:t>
      </w:r>
      <w:r>
        <w:rPr>
          <w:color w:val="auto"/>
          <w:sz w:val="24"/>
        </w:rPr>
        <w:t>”</w:t>
      </w:r>
      <w:r>
        <w:rPr>
          <w:rFonts w:hint="eastAsia"/>
          <w:color w:val="auto"/>
          <w:sz w:val="24"/>
        </w:rPr>
        <w:t xml:space="preserve"> ①为此，他</w:t>
      </w:r>
      <w:r>
        <w:rPr>
          <w:color w:val="auto"/>
          <w:sz w:val="24"/>
        </w:rPr>
        <w:t>……</w:t>
      </w:r>
      <w:r>
        <w:rPr>
          <w:rFonts w:hint="eastAsia"/>
          <w:color w:val="auto"/>
          <w:sz w:val="24"/>
        </w:rPr>
        <w:t xml:space="preserve"> </w:t>
      </w:r>
    </w:p>
    <w:p>
      <w:pPr>
        <w:spacing w:line="360" w:lineRule="auto"/>
        <w:rPr>
          <w:color w:val="auto"/>
          <w:sz w:val="24"/>
        </w:rPr>
      </w:pPr>
      <w:r>
        <w:rPr>
          <w:rFonts w:hint="eastAsia"/>
          <w:color w:val="auto"/>
          <w:sz w:val="24"/>
        </w:rPr>
        <w:t>例3：[上引号前面是逗号，摘要性引用关键论述，句号应在注释标号的后面]</w:t>
      </w:r>
    </w:p>
    <w:p>
      <w:pPr>
        <w:spacing w:line="360" w:lineRule="auto"/>
        <w:rPr>
          <w:color w:val="auto"/>
          <w:sz w:val="24"/>
        </w:rPr>
      </w:pPr>
      <w:r>
        <w:rPr>
          <w:rFonts w:hint="eastAsia"/>
          <w:color w:val="auto"/>
          <w:sz w:val="24"/>
        </w:rPr>
        <w:t>博德里亚尔就认为，这是人类自我导演的一场</w:t>
      </w:r>
      <w:r>
        <w:rPr>
          <w:color w:val="auto"/>
          <w:sz w:val="24"/>
        </w:rPr>
        <w:t>“</w:t>
      </w:r>
      <w:r>
        <w:rPr>
          <w:rFonts w:hint="eastAsia"/>
          <w:color w:val="auto"/>
          <w:sz w:val="24"/>
        </w:rPr>
        <w:t>完美的罪行</w:t>
      </w:r>
      <w:r>
        <w:rPr>
          <w:color w:val="auto"/>
          <w:sz w:val="24"/>
        </w:rPr>
        <w:t>”</w:t>
      </w:r>
      <w:r>
        <w:rPr>
          <w:rFonts w:hint="eastAsia"/>
          <w:color w:val="auto"/>
          <w:sz w:val="24"/>
        </w:rPr>
        <w:t>：</w:t>
      </w:r>
      <w:r>
        <w:rPr>
          <w:color w:val="auto"/>
          <w:sz w:val="24"/>
        </w:rPr>
        <w:t>“</w:t>
      </w:r>
      <w:r>
        <w:rPr>
          <w:rFonts w:hint="eastAsia"/>
          <w:color w:val="auto"/>
          <w:sz w:val="24"/>
        </w:rPr>
        <w:t>大众传媒的</w:t>
      </w:r>
      <w:r>
        <w:rPr>
          <w:color w:val="auto"/>
          <w:sz w:val="24"/>
        </w:rPr>
        <w:t>‘</w:t>
      </w:r>
      <w:r>
        <w:rPr>
          <w:rFonts w:hint="eastAsia"/>
          <w:color w:val="auto"/>
          <w:sz w:val="24"/>
        </w:rPr>
        <w:t>表现</w:t>
      </w:r>
      <w:r>
        <w:rPr>
          <w:color w:val="auto"/>
          <w:sz w:val="24"/>
        </w:rPr>
        <w:t>’</w:t>
      </w:r>
      <w:r>
        <w:rPr>
          <w:rFonts w:hint="eastAsia"/>
          <w:color w:val="auto"/>
          <w:sz w:val="24"/>
        </w:rPr>
        <w:t>就导致一种普遍的虚拟</w:t>
      </w:r>
      <w:r>
        <w:rPr>
          <w:color w:val="auto"/>
          <w:sz w:val="24"/>
        </w:rPr>
        <w:t>……</w:t>
      </w:r>
      <w:r>
        <w:rPr>
          <w:rFonts w:hint="eastAsia"/>
          <w:color w:val="auto"/>
          <w:sz w:val="24"/>
        </w:rPr>
        <w:t>身体的虚拟（遗传基因码和染色体组）</w:t>
      </w:r>
      <w:r>
        <w:rPr>
          <w:color w:val="auto"/>
          <w:sz w:val="24"/>
        </w:rPr>
        <w:t>”</w:t>
      </w:r>
      <w:r>
        <w:rPr>
          <w:rFonts w:hint="eastAsia"/>
          <w:color w:val="auto"/>
          <w:sz w:val="24"/>
        </w:rPr>
        <w:t>、</w:t>
      </w:r>
      <w:r>
        <w:rPr>
          <w:color w:val="auto"/>
          <w:sz w:val="24"/>
        </w:rPr>
        <w:t>“</w:t>
      </w:r>
      <w:r>
        <w:rPr>
          <w:rFonts w:hint="eastAsia"/>
          <w:color w:val="auto"/>
          <w:sz w:val="24"/>
        </w:rPr>
        <w:t>人工智能不经意落入了一个太高的清晰度、</w:t>
      </w:r>
      <w:r>
        <w:rPr>
          <w:color w:val="auto"/>
          <w:sz w:val="24"/>
        </w:rPr>
        <w:t>……</w:t>
      </w:r>
      <w:r>
        <w:rPr>
          <w:rFonts w:hint="eastAsia"/>
          <w:color w:val="auto"/>
          <w:sz w:val="24"/>
        </w:rPr>
        <w:t>此现象仅仅证明这是已实现的对思维的空想</w:t>
      </w:r>
      <w:r>
        <w:rPr>
          <w:color w:val="auto"/>
          <w:sz w:val="24"/>
        </w:rPr>
        <w:t>”</w:t>
      </w:r>
      <w:r>
        <w:rPr>
          <w:rFonts w:hint="eastAsia"/>
          <w:color w:val="auto"/>
          <w:sz w:val="24"/>
        </w:rPr>
        <w:t xml:space="preserve"> ①。 </w:t>
      </w:r>
    </w:p>
    <w:p>
      <w:p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务必注意，注释标号的具体位置。</w:t>
      </w:r>
    </w:p>
    <w:p>
      <w:pPr>
        <w:rPr>
          <w:rFonts w:hint="eastAsia"/>
          <w:color w:val="auto"/>
          <w:sz w:val="24"/>
        </w:rPr>
      </w:pPr>
    </w:p>
    <w:p>
      <w:pPr>
        <w:numPr>
          <w:ilvl w:val="0"/>
          <w:numId w:val="0"/>
        </w:numPr>
        <w:rPr>
          <w:rFonts w:hint="eastAsia" w:ascii="MS Mincho" w:hAnsi="MS Mincho" w:cs="MS Mincho" w:eastAsiaTheme="minorEastAsia"/>
          <w:b/>
          <w:bCs/>
          <w:color w:val="auto"/>
          <w:sz w:val="24"/>
        </w:rPr>
      </w:pPr>
      <w:r>
        <w:rPr>
          <w:rFonts w:hint="eastAsia"/>
          <w:b/>
          <w:bCs/>
          <w:color w:val="auto"/>
          <w:sz w:val="24"/>
          <w:lang w:eastAsia="zh-CN"/>
        </w:rPr>
        <w:t>二、</w:t>
      </w:r>
      <w:r>
        <w:rPr>
          <w:rFonts w:hint="eastAsia"/>
          <w:b/>
          <w:bCs/>
          <w:color w:val="auto"/>
          <w:sz w:val="24"/>
        </w:rPr>
        <w:t>论文</w:t>
      </w:r>
      <w:r>
        <w:rPr>
          <w:rFonts w:hint="eastAsia"/>
          <w:b/>
          <w:bCs/>
          <w:color w:val="auto"/>
          <w:sz w:val="24"/>
          <w:lang w:eastAsia="zh-CN"/>
        </w:rPr>
        <w:t>正文</w:t>
      </w:r>
      <w:r>
        <w:rPr>
          <w:rFonts w:hint="eastAsia"/>
          <w:b/>
          <w:bCs/>
          <w:color w:val="auto"/>
          <w:sz w:val="24"/>
        </w:rPr>
        <w:t>注释一律采用当页底注（又称脚注），每页重新编号，选择自动生成的方式。具体编号方式采用①②③④⑤⑥⑦⑧⑨⑩</w:t>
      </w:r>
      <w:r>
        <w:rPr>
          <w:rFonts w:hint="eastAsia" w:ascii="MS Mincho" w:hAnsi="MS Mincho" w:eastAsia="MS Mincho" w:cs="MS Mincho"/>
          <w:b/>
          <w:bCs/>
          <w:color w:val="auto"/>
          <w:sz w:val="24"/>
        </w:rPr>
        <w:t>⑪⑫⑬⑭⑮⑯⑰⑱⑲</w:t>
      </w:r>
      <w:r>
        <w:rPr>
          <w:rFonts w:hint="eastAsia" w:ascii="MS Mincho" w:hAnsi="MS Mincho" w:cs="MS Mincho" w:eastAsiaTheme="minorEastAsia"/>
          <w:b/>
          <w:bCs/>
          <w:color w:val="auto"/>
          <w:sz w:val="24"/>
        </w:rPr>
        <w:t>……</w:t>
      </w:r>
    </w:p>
    <w:p>
      <w:pPr>
        <w:numPr>
          <w:ilvl w:val="0"/>
          <w:numId w:val="0"/>
        </w:numPr>
        <w:rPr>
          <w:rFonts w:hint="eastAsia" w:ascii="MS Mincho" w:hAnsi="MS Mincho" w:cs="MS Mincho" w:eastAsiaTheme="minorEastAsia"/>
          <w:b/>
          <w:bCs/>
          <w:color w:val="auto"/>
          <w:sz w:val="24"/>
        </w:rPr>
      </w:pPr>
    </w:p>
    <w:p>
      <w:pPr>
        <w:rPr>
          <w:rFonts w:hint="eastAsia" w:ascii="MS Mincho" w:hAnsi="MS Mincho" w:cs="MS Mincho" w:eastAsiaTheme="minorEastAsia"/>
          <w:color w:val="auto"/>
          <w:sz w:val="24"/>
        </w:rPr>
      </w:pPr>
    </w:p>
    <w:p>
      <w:pPr>
        <w:numPr>
          <w:ilvl w:val="0"/>
          <w:numId w:val="0"/>
        </w:numPr>
        <w:rPr>
          <w:rFonts w:hint="eastAsia" w:ascii="MS Mincho" w:hAnsi="MS Mincho" w:cs="MS Mincho" w:eastAsiaTheme="minorEastAsia"/>
          <w:b/>
          <w:bCs/>
          <w:color w:val="auto"/>
          <w:sz w:val="24"/>
        </w:rPr>
      </w:pPr>
      <w:r>
        <w:rPr>
          <w:rFonts w:hint="eastAsia" w:ascii="MS Mincho" w:hAnsi="MS Mincho" w:cs="MS Mincho" w:eastAsiaTheme="minorEastAsia"/>
          <w:b/>
          <w:bCs/>
          <w:color w:val="auto"/>
          <w:sz w:val="24"/>
          <w:lang w:eastAsia="zh-CN"/>
        </w:rPr>
        <w:t>三、</w:t>
      </w:r>
      <w:r>
        <w:rPr>
          <w:rFonts w:hint="eastAsia" w:ascii="MS Mincho" w:hAnsi="MS Mincho" w:cs="MS Mincho" w:eastAsiaTheme="minorEastAsia"/>
          <w:b/>
          <w:bCs/>
          <w:color w:val="auto"/>
          <w:sz w:val="24"/>
        </w:rPr>
        <w:t>注释采用的格式</w:t>
      </w:r>
      <w:r>
        <w:rPr>
          <w:rFonts w:hint="eastAsia" w:ascii="MS Mincho" w:hAnsi="MS Mincho" w:cs="MS Mincho" w:eastAsiaTheme="minorEastAsia"/>
          <w:b/>
          <w:bCs/>
          <w:color w:val="auto"/>
          <w:sz w:val="24"/>
          <w:lang w:eastAsia="zh-CN"/>
        </w:rPr>
        <w:t>（以下格式是建议格式，但保证全文格式统一，是底线要求）</w:t>
      </w:r>
    </w:p>
    <w:p>
      <w:pPr>
        <w:numPr>
          <w:ilvl w:val="0"/>
          <w:numId w:val="0"/>
        </w:numPr>
        <w:rPr>
          <w:rFonts w:hint="eastAsia" w:ascii="MS Mincho" w:hAnsi="MS Mincho" w:cs="MS Mincho" w:eastAsiaTheme="minorEastAsia"/>
          <w:b/>
          <w:bCs/>
          <w:color w:val="auto"/>
          <w:sz w:val="24"/>
        </w:rPr>
      </w:pP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456" w:lineRule="atLeast"/>
        <w:ind w:left="0" w:right="0" w:firstLine="0"/>
        <w:jc w:val="left"/>
        <w:rPr>
          <w:rFonts w:hint="eastAsia" w:ascii="MS Mincho" w:hAnsi="MS Mincho" w:cs="MS Mincho" w:eastAsiaTheme="minorEastAsia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MS Mincho" w:hAnsi="MS Mincho" w:cs="MS Mincho" w:eastAsiaTheme="minorEastAsia"/>
          <w:color w:val="auto"/>
          <w:sz w:val="24"/>
          <w:lang w:val="en-US" w:eastAsia="zh-CN"/>
        </w:rPr>
        <w:t xml:space="preserve"> 具体格式，参照</w:t>
      </w:r>
      <w:r>
        <w:rPr>
          <w:rFonts w:hint="eastAsia" w:ascii="MS Mincho" w:hAnsi="MS Mincho" w:cs="MS Mincho" w:eastAsiaTheme="minorEastAsia"/>
          <w:color w:val="auto"/>
          <w:kern w:val="2"/>
          <w:sz w:val="24"/>
          <w:szCs w:val="24"/>
          <w:lang w:val="en-US" w:eastAsia="zh-CN" w:bidi="ar-SA"/>
        </w:rPr>
        <w:t>《中国社会科学》论文格式，如下：</w:t>
      </w: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456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Style w:val="16"/>
          <w:rFonts w:hint="eastAsia" w:asciiTheme="minorEastAsia" w:hAnsiTheme="minorEastAsia" w:eastAsiaTheme="minorEastAsia" w:cstheme="minorEastAsia"/>
          <w:b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A</w:t>
      </w:r>
      <w:r>
        <w:rPr>
          <w:rStyle w:val="16"/>
          <w:rFonts w:hint="eastAsia" w:asciiTheme="minorEastAsia" w:hAnsiTheme="minorEastAsia" w:eastAsiaTheme="minorEastAsia" w:cstheme="minorEastAsia"/>
          <w:b/>
          <w:i w:val="0"/>
          <w:caps w:val="0"/>
          <w:color w:val="auto"/>
          <w:spacing w:val="0"/>
          <w:sz w:val="24"/>
          <w:szCs w:val="24"/>
          <w:shd w:val="clear" w:fill="FFFFFF"/>
        </w:rPr>
        <w:t>普通图书</w:t>
      </w: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456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标注项目与顺序：（1）责任者与责任方式；（2）书名；（3）卷册；（4）出版地点（城市）；（5）出版者；（6）出版时间；（7）页码。</w:t>
      </w: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456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孔飞力：《叫魂》，陈兼、刘昶译，上海：上海三联书店，1999年，第207页。</w:t>
      </w: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456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戴裔煊：《〈明史·佛郎机传〉笺正》，北京：中国社会科学出版社</w:t>
      </w:r>
      <w:r>
        <w:rPr>
          <w:rFonts w:hint="eastAsia" w:asciiTheme="minorEastAsia" w:hAnsi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1984年，第6页。</w:t>
      </w: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456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冯玉祥：《我的读书生活》，三户图书刊行社，[出版时间不详]，第8页。</w:t>
      </w: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456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参阅张树年主编：《张元济年谱》，北京：商务印书馆，1991年，第6章。</w:t>
      </w: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456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Style w:val="16"/>
          <w:rFonts w:hint="eastAsia" w:asciiTheme="minorEastAsia" w:hAnsiTheme="minorEastAsia" w:eastAsiaTheme="minorEastAsia" w:cstheme="minorEastAsia"/>
          <w:b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B</w:t>
      </w:r>
      <w:r>
        <w:rPr>
          <w:rStyle w:val="16"/>
          <w:rFonts w:hint="eastAsia" w:asciiTheme="minorEastAsia" w:hAnsiTheme="minorEastAsia" w:eastAsiaTheme="minorEastAsia" w:cstheme="minorEastAsia"/>
          <w:b/>
          <w:i w:val="0"/>
          <w:caps w:val="0"/>
          <w:color w:val="auto"/>
          <w:spacing w:val="0"/>
          <w:sz w:val="24"/>
          <w:szCs w:val="24"/>
          <w:shd w:val="clear" w:fill="FFFFFF"/>
        </w:rPr>
        <w:t>析出文献</w:t>
      </w: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456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注项目与顺序：（1）作者；（2）析出文献名；（3）文集编者；（4）文集题名；（5）卷册；（6）出版地点（城市）；（7）出版者；（8）出版时间；（9）页码。</w:t>
      </w: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456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（一）文集</w:t>
      </w: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456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黄宗羲：《汪魏美先生墓志铭》，沈善洪主编：《黄宗羲全集》第10册，杭州：浙江古籍出版社，1992年，第382页。</w:t>
      </w: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456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陈序经：《教育的中国化和现代化》，杨深编：《走出东方——陈序经文化论著辑要》，北京：中国广播电视出版社，1995年，第208页。</w:t>
      </w: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456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唐振常：《师承与变法》，《识史集》，上海：上海古籍出版社，1997年，第65页。</w:t>
      </w: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456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（二）书信集、档案文献汇编</w:t>
      </w: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456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《复孙毓修函》，1911年6月3日，高平叔、王世儒编注：《蔡元培书信集》上册，杭州：浙江教育出版社，2000年，第99页。</w:t>
      </w: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456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《中共中央最近政治状况报告》，1927年10月，中央档案馆编：《中共中央政治报告选辑（1927—1933）》，北京：中共中央党校出版社，1983年，第20页。</w:t>
      </w: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456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（三）序跋、后记</w:t>
      </w: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456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李鹏程：《当代文化哲学沉思·序言》，北京：人民出版社，1994年，第2页。</w:t>
      </w: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456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楼适夷：《读家书，想傅雷（代序）》，傅敏编：《傅雷家书》（增补本），北京：三联书店，1988年，第1页。</w:t>
      </w: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456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Style w:val="16"/>
          <w:rFonts w:hint="eastAsia" w:asciiTheme="minorEastAsia" w:hAnsiTheme="minorEastAsia" w:eastAsiaTheme="minorEastAsia" w:cstheme="minorEastAsia"/>
          <w:b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C</w:t>
      </w:r>
      <w:r>
        <w:rPr>
          <w:rStyle w:val="16"/>
          <w:rFonts w:hint="eastAsia" w:asciiTheme="minorEastAsia" w:hAnsiTheme="minorEastAsia" w:eastAsiaTheme="minorEastAsia" w:cstheme="minorEastAsia"/>
          <w:b/>
          <w:i w:val="0"/>
          <w:caps w:val="0"/>
          <w:color w:val="auto"/>
          <w:spacing w:val="0"/>
          <w:sz w:val="24"/>
          <w:szCs w:val="24"/>
          <w:shd w:val="clear" w:fill="FFFFFF"/>
        </w:rPr>
        <w:t>古籍</w:t>
      </w: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456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一般情况下，引证古籍标注项目与顺序：（1）责任者与责任方式；（2）书名；（3）卷次；（4）部类名及篇名；（5）版本；（6）页码。</w:t>
      </w: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456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何晏注，邢昺疏：《论语注疏》，四部备要本，卷14，第5页。</w:t>
      </w: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456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何璘：《澧州志林》卷23《书李自成传后》，乾隆十五年刻本，第31—34页。</w:t>
      </w: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456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万历《广东通志》卷24《郡县志十一·广州府·人物二》，第2页。</w:t>
      </w: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456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袁大化修，王树楠等撰：《新疆图志》卷48《礼俗》，上海：上海古籍出版社，1992年影印本，第443页。</w:t>
      </w: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456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《明史》卷282《儒林一·罗钦顺传》，北京：中华书局，1987年，第7237页。</w:t>
      </w: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456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欧阳兆熊、金安清：《水窗春呓》，谢兴尧点校，北京：中华书局，1984年，第45页。</w:t>
      </w: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456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《资治通鉴》卷200，唐高宗永徽六年十月乙卯，北京：中华书局，1956年，第6293页。</w:t>
      </w: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456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《通典》卷54，北京：中华书局，1988年，第1508页。</w:t>
      </w: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456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Style w:val="16"/>
          <w:rFonts w:hint="eastAsia" w:asciiTheme="minorEastAsia" w:hAnsiTheme="minorEastAsia" w:eastAsiaTheme="minorEastAsia" w:cstheme="minorEastAsia"/>
          <w:b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D</w:t>
      </w:r>
      <w:r>
        <w:rPr>
          <w:rStyle w:val="16"/>
          <w:rFonts w:hint="eastAsia" w:asciiTheme="minorEastAsia" w:hAnsiTheme="minorEastAsia" w:eastAsiaTheme="minorEastAsia" w:cstheme="minorEastAsia"/>
          <w:b/>
          <w:i w:val="0"/>
          <w:caps w:val="0"/>
          <w:color w:val="auto"/>
          <w:spacing w:val="0"/>
          <w:sz w:val="24"/>
          <w:szCs w:val="24"/>
          <w:shd w:val="clear" w:fill="FFFFFF"/>
        </w:rPr>
        <w:t>期刊、报纸</w:t>
      </w: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456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（一）期刊</w:t>
      </w: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456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引证期刊中的文章，标注项目与顺序：（1）作者；（2）文章名称；（3）期刊名称；（4）卷册号及出版日期；（5）页码。</w:t>
      </w: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456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吴艳红：《明代流刑考》，《历史研究》2000年第6期，第34页。</w:t>
      </w: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456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王晴佳：《中国二十世纪史学与西方——论现代历史意识的产生》，《新史学》（台北）第9卷第1期，1998年3月，第55—82页。</w:t>
      </w: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456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（二）报纸</w:t>
      </w: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456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引证报纸中的文章，标注项目与顺序：（1）作者；（2）文章名称；（3）报纸名称；（4）出版日期；（5）版次。</w:t>
      </w: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456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《同业行规问题》，《申报》1930年10月31日，第9版。</w:t>
      </w: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456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《论东亚事宜》，《清议报》第2册，光绪二十四年十一月廿一日，北京：中华书局，1991年影印本，总第89页。</w:t>
      </w: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456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Style w:val="16"/>
          <w:rFonts w:hint="eastAsia" w:asciiTheme="minorEastAsia" w:hAnsiTheme="minorEastAsia" w:eastAsiaTheme="minorEastAsia" w:cstheme="minorEastAsia"/>
          <w:b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 xml:space="preserve">F </w:t>
      </w:r>
      <w:r>
        <w:rPr>
          <w:rStyle w:val="16"/>
          <w:rFonts w:hint="eastAsia" w:asciiTheme="minorEastAsia" w:hAnsiTheme="minorEastAsia" w:eastAsiaTheme="minorEastAsia" w:cstheme="minorEastAsia"/>
          <w:b/>
          <w:i w:val="0"/>
          <w:caps w:val="0"/>
          <w:color w:val="auto"/>
          <w:spacing w:val="0"/>
          <w:sz w:val="24"/>
          <w:szCs w:val="24"/>
          <w:shd w:val="clear" w:fill="FFFFFF"/>
        </w:rPr>
        <w:t>外文文献</w:t>
      </w: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456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（一）引证外文文献，原则上应使用该文种通行的引证标注方式。</w:t>
      </w: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456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（二）引证英文文献的标注方式：</w:t>
      </w: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456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1．引证专著（编著、译著），标注项目与顺序：（1）作者；（2）书名（斜体）；（3）出版地点；（4）出版者；（5）出版时间；（6）页码。</w:t>
      </w: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456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Randolph Starn and Loren Part ridge ,</w:t>
      </w:r>
      <w:r>
        <w:rPr>
          <w:rStyle w:val="17"/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The A rts of Power : Three Halls of S tate in Italy ,1300—1600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, Berkeley : University of California University,1992,pp.19—28.</w:t>
      </w: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456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M. Polo , </w:t>
      </w:r>
      <w:r>
        <w:rPr>
          <w:rStyle w:val="17"/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The Travels of Marco Polo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, trans. by William Marsden , Hertfordshire :Cumberland House,1997,pp.55,88.</w:t>
      </w: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456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T. H. Aston and C. H. E. Phlipin (eds. ) ,</w:t>
      </w:r>
      <w:r>
        <w:rPr>
          <w:rStyle w:val="17"/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The Brenner Debate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, Cambridge : Cambridge University Press, 1985,p.35.</w:t>
      </w: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456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2．引证期刊中的文章，标注项目与顺序：（1）作者；（2）文章名称；（3）期刊名称（斜体）；（4）卷期号；（5）出版时间；（6）页码。</w:t>
      </w: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456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Heath B. Chamberlain ,“On the Search for Civil Society in China ,”</w:t>
      </w: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456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Style w:val="17"/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Modern China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,vol.19, no.2 (April 1993) ,pp.199—215.</w:t>
      </w: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456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3．引证文集中的析出文献，标注项目与顺序：（1）作者；（2）文章名；（3）编者；（4）文集名（斜体）；（5）出版地点；（6）出版者；（7）出版时间；（8）页码。</w:t>
      </w: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456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R. S. Schfield ,"The Impact of Scarcity and Plenty on Population Change in England ,"in R. I. Rotberg and T. K. Rabb (eds. ) ,</w:t>
      </w:r>
      <w:r>
        <w:rPr>
          <w:rStyle w:val="17"/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Hunger and History : The Impact of Changing Food Production and Consum ption Pat tern on Societ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, Cambridge : Cambridge University Press,1983,p.79.</w:t>
      </w: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456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Style w:val="16"/>
          <w:rFonts w:hint="eastAsia" w:asciiTheme="minorEastAsia" w:hAnsiTheme="minorEastAsia" w:eastAsiaTheme="minorEastAsia" w:cstheme="minorEastAsia"/>
          <w:b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 xml:space="preserve">G </w:t>
      </w:r>
      <w:r>
        <w:rPr>
          <w:rStyle w:val="16"/>
          <w:rFonts w:hint="eastAsia" w:asciiTheme="minorEastAsia" w:hAnsiTheme="minorEastAsia" w:eastAsiaTheme="minorEastAsia" w:cstheme="minorEastAsia"/>
          <w:b/>
          <w:i w:val="0"/>
          <w:caps w:val="0"/>
          <w:color w:val="auto"/>
          <w:spacing w:val="0"/>
          <w:sz w:val="24"/>
          <w:szCs w:val="24"/>
          <w:shd w:val="clear" w:fill="FFFFFF"/>
        </w:rPr>
        <w:t>未刊文献</w:t>
      </w: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456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（一）学位论文</w:t>
      </w: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456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方明东：《罗隆基政治思想研究（1913—1949）》，博士学位论文，北京师范大学历史系，2000年，第67页。</w:t>
      </w: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456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（二）会议论文</w:t>
      </w: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456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中岛乐章：《明前期徽州的民事诉讼个案研究》，国际徽学研讨会论文，安徽绩溪，1998年，第9页。</w:t>
      </w: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456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（三）未刊手稿、函电等</w:t>
      </w: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456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《蒋介石日记》，毛思诚分类摘抄本，中国第二历史档案馆藏。</w:t>
      </w: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456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《陈云致王明信》，1937年5月16日，缩微胶卷，俄罗斯当代文献保管与研究中心藏，495/74/290。</w:t>
      </w: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456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《傅良佐致国务院电》，1917年9月15日，中国第二历史档案馆藏，北洋档案1011—5961。</w:t>
      </w: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456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Style w:val="16"/>
          <w:rFonts w:hint="eastAsia" w:asciiTheme="minorEastAsia" w:hAnsiTheme="minorEastAsia" w:eastAsiaTheme="minorEastAsia" w:cstheme="minorEastAsia"/>
          <w:b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H</w:t>
      </w:r>
      <w:r>
        <w:rPr>
          <w:rStyle w:val="16"/>
          <w:rFonts w:hint="eastAsia" w:asciiTheme="minorEastAsia" w:hAnsiTheme="minorEastAsia" w:eastAsiaTheme="minorEastAsia" w:cstheme="minorEastAsia"/>
          <w:b/>
          <w:i w:val="0"/>
          <w:caps w:val="0"/>
          <w:color w:val="auto"/>
          <w:spacing w:val="0"/>
          <w:sz w:val="24"/>
          <w:szCs w:val="24"/>
          <w:shd w:val="clear" w:fill="FFFFFF"/>
        </w:rPr>
        <w:t>其他</w:t>
      </w: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456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（一）同一文献再次引证时可以将出版信息（出版地点、出版者、出版时间）省略。</w:t>
      </w: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456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戴裔煊：《〈明史·佛郎机传〉笺正》，第8页。</w:t>
      </w: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456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（二）再次引证同一文献时，第二责任者（译者、点校者）可以省略。</w:t>
      </w: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456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孔飞力：《叫魂》，第210页。</w:t>
      </w: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456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（三）析出文献再次引证时，可以根据情况将论文集、资料集、档案集的编者省略。</w:t>
      </w: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456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陈序经：《全盘西化的辩护》，《走出东方——陈序经文化论著辑要》，第280—283页。</w:t>
      </w: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456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（四）转引文献，须注明原文献出版信息。</w:t>
      </w: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456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《宁波罢市风潮》，《新闻报》1919年6月9日，第2张，第2版，转引自冯筱才：</w:t>
      </w: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456" w:lineRule="atLeast"/>
        <w:ind w:left="0" w:right="0" w:firstLine="0"/>
        <w:jc w:val="left"/>
        <w:rPr>
          <w:rFonts w:hint="eastAsia" w:ascii="Arial" w:hAnsi="Arial" w:cs="Arial"/>
          <w:color w:val="auto"/>
          <w:kern w:val="0"/>
          <w:sz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《罢市与抵货运动中的江浙商人：以“五四”、“五卅”为中心》，《近代史研究》2003年第1期，第114页。</w:t>
      </w:r>
    </w:p>
    <w:p>
      <w:pPr>
        <w:rPr>
          <w:rFonts w:hint="eastAsia" w:ascii="Arial" w:hAnsi="Arial" w:cs="Arial"/>
          <w:color w:val="auto"/>
          <w:kern w:val="0"/>
          <w:sz w:val="24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黑体" w:hAnsi="黑体" w:eastAsia="黑体"/>
          <w:b/>
          <w:color w:val="auto"/>
          <w:sz w:val="24"/>
        </w:rPr>
      </w:pPr>
      <w:r>
        <w:rPr>
          <w:rFonts w:hint="eastAsia" w:ascii="黑体" w:hAnsi="黑体" w:eastAsia="黑体"/>
          <w:b/>
          <w:color w:val="auto"/>
          <w:sz w:val="24"/>
          <w:lang w:eastAsia="zh-CN"/>
        </w:rPr>
        <w:t>四、</w:t>
      </w:r>
      <w:r>
        <w:rPr>
          <w:rFonts w:hint="eastAsia" w:ascii="黑体" w:hAnsi="黑体" w:eastAsia="黑体"/>
          <w:b/>
          <w:color w:val="auto"/>
          <w:sz w:val="24"/>
        </w:rPr>
        <w:t>参考文献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参考文献是指你的论文中参考了哪些重要文献材料，包括理论、作品等。</w:t>
      </w:r>
    </w:p>
    <w:p>
      <w:pPr>
        <w:numPr>
          <w:ilvl w:val="0"/>
          <w:numId w:val="1"/>
        </w:num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参考文献一定要放在论文正文的结尾。</w:t>
      </w:r>
    </w:p>
    <w:p>
      <w:pPr>
        <w:numPr>
          <w:ilvl w:val="0"/>
          <w:numId w:val="1"/>
        </w:numPr>
        <w:spacing w:line="360" w:lineRule="auto"/>
        <w:rPr>
          <w:rFonts w:hint="eastAsia"/>
          <w:color w:val="auto"/>
          <w:sz w:val="24"/>
        </w:rPr>
      </w:pPr>
      <w:bookmarkStart w:id="0" w:name="_GoBack"/>
      <w:bookmarkEnd w:id="0"/>
      <w:r>
        <w:rPr>
          <w:rFonts w:hint="eastAsia"/>
          <w:color w:val="auto"/>
          <w:sz w:val="24"/>
        </w:rPr>
        <w:t>参考文献的排序：先理论部分，再作品部分。其中，无论是理论还是作品，先著作或书籍，然后再列上论文或单篇作品。</w:t>
      </w:r>
    </w:p>
    <w:p>
      <w:p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3.参考文献的排列，不必标注有关页码，只需要列示著作、论文或作品的相关信息即可。</w:t>
      </w:r>
    </w:p>
    <w:p>
      <w:p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例：</w:t>
      </w:r>
    </w:p>
    <w:p>
      <w:p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朱寨主编：《中国当代文学思潮史》，人民文学出版社1987年。</w:t>
      </w:r>
    </w:p>
    <w:p>
      <w:p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刘增杰：《云起云飞：20世纪中国文学思潮研究透视》，上海文艺出版社1997年。</w:t>
      </w:r>
    </w:p>
    <w:p>
      <w:pPr>
        <w:spacing w:line="360" w:lineRule="auto"/>
        <w:rPr>
          <w:rFonts w:hint="eastAsia"/>
          <w:color w:val="auto"/>
          <w:sz w:val="24"/>
          <w:lang w:eastAsia="zh-CN"/>
        </w:rPr>
      </w:pPr>
      <w:r>
        <w:rPr>
          <w:rFonts w:hint="eastAsia"/>
          <w:color w:val="auto"/>
          <w:sz w:val="24"/>
        </w:rPr>
        <w:t>李鹏程：《当代文化哲学沉思》，人民出版社1994年</w:t>
      </w:r>
      <w:r>
        <w:rPr>
          <w:rFonts w:hint="eastAsia"/>
          <w:color w:val="auto"/>
          <w:sz w:val="24"/>
          <w:lang w:eastAsia="zh-CN"/>
        </w:rPr>
        <w:t>。</w:t>
      </w:r>
    </w:p>
    <w:p>
      <w:pPr>
        <w:spacing w:line="360" w:lineRule="auto"/>
        <w:rPr>
          <w:rFonts w:hint="eastAsia"/>
          <w:color w:val="auto"/>
          <w:sz w:val="24"/>
          <w:lang w:eastAsia="zh-CN"/>
        </w:rPr>
      </w:pPr>
      <w:r>
        <w:rPr>
          <w:rFonts w:hint="eastAsia"/>
          <w:color w:val="auto"/>
          <w:sz w:val="24"/>
        </w:rPr>
        <w:t>吴艳红：《明代流刑考》，《历史研究》2000年第6期</w:t>
      </w:r>
      <w:r>
        <w:rPr>
          <w:rFonts w:hint="eastAsia"/>
          <w:color w:val="auto"/>
          <w:sz w:val="24"/>
          <w:lang w:eastAsia="zh-CN"/>
        </w:rPr>
        <w:t>。</w:t>
      </w:r>
    </w:p>
    <w:p>
      <w:pPr>
        <w:rPr>
          <w:rFonts w:hint="eastAsia" w:ascii="楷体" w:hAnsi="楷体" w:eastAsia="楷体"/>
          <w:color w:val="auto"/>
          <w:sz w:val="24"/>
        </w:rPr>
      </w:pPr>
    </w:p>
    <w:p>
      <w:pPr>
        <w:rPr>
          <w:rFonts w:hint="eastAsia" w:ascii="黑体" w:hAnsi="黑体" w:eastAsia="黑体"/>
          <w:color w:val="auto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3A106"/>
    <w:multiLevelType w:val="singleLevel"/>
    <w:tmpl w:val="2703A10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ED2"/>
    <w:rsid w:val="00006C41"/>
    <w:rsid w:val="00025265"/>
    <w:rsid w:val="000B7401"/>
    <w:rsid w:val="002D2DE9"/>
    <w:rsid w:val="00311F17"/>
    <w:rsid w:val="0037658D"/>
    <w:rsid w:val="003D688C"/>
    <w:rsid w:val="004A5176"/>
    <w:rsid w:val="00511B19"/>
    <w:rsid w:val="005C0C5B"/>
    <w:rsid w:val="00681D69"/>
    <w:rsid w:val="007B6713"/>
    <w:rsid w:val="007D67C7"/>
    <w:rsid w:val="009B4931"/>
    <w:rsid w:val="009D7BE7"/>
    <w:rsid w:val="00A24C64"/>
    <w:rsid w:val="00A32723"/>
    <w:rsid w:val="00A828D5"/>
    <w:rsid w:val="00B71151"/>
    <w:rsid w:val="00BE2541"/>
    <w:rsid w:val="00C66DF2"/>
    <w:rsid w:val="00D55FC8"/>
    <w:rsid w:val="00DC6EB9"/>
    <w:rsid w:val="00E65C8C"/>
    <w:rsid w:val="00ED2E38"/>
    <w:rsid w:val="00ED5AA5"/>
    <w:rsid w:val="00F1274B"/>
    <w:rsid w:val="00F13E64"/>
    <w:rsid w:val="00FB4ED2"/>
    <w:rsid w:val="00FC6D21"/>
    <w:rsid w:val="00FF631B"/>
    <w:rsid w:val="2E6C1869"/>
    <w:rsid w:val="38B36B84"/>
    <w:rsid w:val="52A55FE9"/>
    <w:rsid w:val="5D0E52DB"/>
    <w:rsid w:val="5D0F5520"/>
    <w:rsid w:val="6A833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Quote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9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0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21"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22"/>
    <w:unhideWhenUsed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23"/>
    <w:unhideWhenUsed/>
    <w:qFormat/>
    <w:uiPriority w:val="0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</w:rPr>
  </w:style>
  <w:style w:type="paragraph" w:styleId="8">
    <w:name w:val="heading 7"/>
    <w:basedOn w:val="1"/>
    <w:next w:val="1"/>
    <w:link w:val="24"/>
    <w:unhideWhenUsed/>
    <w:qFormat/>
    <w:uiPriority w:val="0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9">
    <w:name w:val="heading 8"/>
    <w:basedOn w:val="1"/>
    <w:next w:val="1"/>
    <w:link w:val="25"/>
    <w:unhideWhenUsed/>
    <w:qFormat/>
    <w:uiPriority w:val="0"/>
    <w:pPr>
      <w:keepNext/>
      <w:keepLines/>
      <w:spacing w:before="240" w:after="64" w:line="320" w:lineRule="auto"/>
      <w:outlineLvl w:val="7"/>
    </w:pPr>
    <w:rPr>
      <w:rFonts w:asciiTheme="majorHAnsi" w:hAnsiTheme="majorHAnsi" w:eastAsiaTheme="majorEastAsia" w:cstheme="majorBidi"/>
      <w:sz w:val="24"/>
    </w:rPr>
  </w:style>
  <w:style w:type="paragraph" w:styleId="10">
    <w:name w:val="heading 9"/>
    <w:basedOn w:val="1"/>
    <w:next w:val="1"/>
    <w:link w:val="26"/>
    <w:unhideWhenUsed/>
    <w:qFormat/>
    <w:uiPriority w:val="0"/>
    <w:pPr>
      <w:keepNext/>
      <w:keepLines/>
      <w:spacing w:before="240" w:after="64" w:line="320" w:lineRule="auto"/>
      <w:outlineLvl w:val="8"/>
    </w:pPr>
    <w:rPr>
      <w:rFonts w:asciiTheme="majorHAnsi" w:hAnsiTheme="majorHAnsi" w:eastAsiaTheme="majorEastAsia" w:cstheme="majorBidi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8"/>
    <w:qFormat/>
    <w:uiPriority w:val="0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12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3">
    <w:name w:val="Title"/>
    <w:basedOn w:val="1"/>
    <w:next w:val="1"/>
    <w:link w:val="27"/>
    <w:qFormat/>
    <w:uiPriority w:val="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styleId="16">
    <w:name w:val="Strong"/>
    <w:basedOn w:val="15"/>
    <w:qFormat/>
    <w:uiPriority w:val="0"/>
    <w:rPr>
      <w:b/>
      <w:bCs/>
    </w:rPr>
  </w:style>
  <w:style w:type="character" w:styleId="17">
    <w:name w:val="Emphasis"/>
    <w:basedOn w:val="15"/>
    <w:qFormat/>
    <w:uiPriority w:val="0"/>
    <w:rPr>
      <w:i/>
      <w:iCs/>
    </w:rPr>
  </w:style>
  <w:style w:type="character" w:customStyle="1" w:styleId="18">
    <w:name w:val="标题 1 Char"/>
    <w:basedOn w:val="15"/>
    <w:link w:val="2"/>
    <w:qFormat/>
    <w:uiPriority w:val="0"/>
    <w:rPr>
      <w:b/>
      <w:bCs/>
      <w:kern w:val="44"/>
      <w:sz w:val="44"/>
      <w:szCs w:val="44"/>
    </w:rPr>
  </w:style>
  <w:style w:type="character" w:customStyle="1" w:styleId="19">
    <w:name w:val="标题 2 Char"/>
    <w:basedOn w:val="15"/>
    <w:link w:val="3"/>
    <w:semiHidden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20">
    <w:name w:val="标题 3 Char"/>
    <w:basedOn w:val="15"/>
    <w:link w:val="4"/>
    <w:semiHidden/>
    <w:qFormat/>
    <w:uiPriority w:val="0"/>
    <w:rPr>
      <w:b/>
      <w:bCs/>
      <w:kern w:val="2"/>
      <w:sz w:val="32"/>
      <w:szCs w:val="32"/>
    </w:rPr>
  </w:style>
  <w:style w:type="character" w:customStyle="1" w:styleId="21">
    <w:name w:val="标题 4 Char"/>
    <w:basedOn w:val="15"/>
    <w:link w:val="5"/>
    <w:semiHidden/>
    <w:qFormat/>
    <w:uiPriority w:val="0"/>
    <w:rPr>
      <w:rFonts w:asciiTheme="majorHAnsi" w:hAnsiTheme="majorHAnsi" w:eastAsiaTheme="majorEastAsia" w:cstheme="majorBidi"/>
      <w:b/>
      <w:bCs/>
      <w:kern w:val="2"/>
      <w:sz w:val="28"/>
      <w:szCs w:val="28"/>
    </w:rPr>
  </w:style>
  <w:style w:type="character" w:customStyle="1" w:styleId="22">
    <w:name w:val="标题 5 Char"/>
    <w:basedOn w:val="15"/>
    <w:link w:val="6"/>
    <w:semiHidden/>
    <w:qFormat/>
    <w:uiPriority w:val="0"/>
    <w:rPr>
      <w:b/>
      <w:bCs/>
      <w:kern w:val="2"/>
      <w:sz w:val="28"/>
      <w:szCs w:val="28"/>
    </w:rPr>
  </w:style>
  <w:style w:type="character" w:customStyle="1" w:styleId="23">
    <w:name w:val="标题 6 Char"/>
    <w:basedOn w:val="15"/>
    <w:link w:val="7"/>
    <w:semiHidden/>
    <w:qFormat/>
    <w:uiPriority w:val="0"/>
    <w:rPr>
      <w:rFonts w:asciiTheme="majorHAnsi" w:hAnsiTheme="majorHAnsi" w:eastAsiaTheme="majorEastAsia" w:cstheme="majorBidi"/>
      <w:b/>
      <w:bCs/>
      <w:kern w:val="2"/>
      <w:sz w:val="24"/>
      <w:szCs w:val="24"/>
    </w:rPr>
  </w:style>
  <w:style w:type="character" w:customStyle="1" w:styleId="24">
    <w:name w:val="标题 7 Char"/>
    <w:basedOn w:val="15"/>
    <w:link w:val="8"/>
    <w:semiHidden/>
    <w:qFormat/>
    <w:uiPriority w:val="0"/>
    <w:rPr>
      <w:b/>
      <w:bCs/>
      <w:kern w:val="2"/>
      <w:sz w:val="24"/>
      <w:szCs w:val="24"/>
    </w:rPr>
  </w:style>
  <w:style w:type="character" w:customStyle="1" w:styleId="25">
    <w:name w:val="标题 8 Char"/>
    <w:basedOn w:val="15"/>
    <w:link w:val="9"/>
    <w:semiHidden/>
    <w:qFormat/>
    <w:uiPriority w:val="0"/>
    <w:rPr>
      <w:rFonts w:asciiTheme="majorHAnsi" w:hAnsiTheme="majorHAnsi" w:eastAsiaTheme="majorEastAsia" w:cstheme="majorBidi"/>
      <w:kern w:val="2"/>
      <w:sz w:val="24"/>
      <w:szCs w:val="24"/>
    </w:rPr>
  </w:style>
  <w:style w:type="character" w:customStyle="1" w:styleId="26">
    <w:name w:val="标题 9 Char"/>
    <w:basedOn w:val="15"/>
    <w:link w:val="10"/>
    <w:semiHidden/>
    <w:qFormat/>
    <w:uiPriority w:val="0"/>
    <w:rPr>
      <w:rFonts w:asciiTheme="majorHAnsi" w:hAnsiTheme="majorHAnsi" w:eastAsiaTheme="majorEastAsia" w:cstheme="majorBidi"/>
      <w:kern w:val="2"/>
      <w:sz w:val="21"/>
      <w:szCs w:val="21"/>
    </w:rPr>
  </w:style>
  <w:style w:type="character" w:customStyle="1" w:styleId="27">
    <w:name w:val="标题 Char"/>
    <w:basedOn w:val="15"/>
    <w:link w:val="13"/>
    <w:qFormat/>
    <w:uiPriority w:val="0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28">
    <w:name w:val="副标题 Char"/>
    <w:basedOn w:val="15"/>
    <w:link w:val="11"/>
    <w:qFormat/>
    <w:uiPriority w:val="0"/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29">
    <w:name w:val="No Spacing"/>
    <w:basedOn w:val="1"/>
    <w:qFormat/>
    <w:uiPriority w:val="99"/>
  </w:style>
  <w:style w:type="paragraph" w:styleId="30">
    <w:name w:val="List Paragraph"/>
    <w:basedOn w:val="1"/>
    <w:qFormat/>
    <w:uiPriority w:val="99"/>
    <w:pPr>
      <w:ind w:firstLine="420" w:firstLineChars="200"/>
    </w:pPr>
  </w:style>
  <w:style w:type="paragraph" w:styleId="31">
    <w:name w:val="Quote"/>
    <w:basedOn w:val="1"/>
    <w:next w:val="1"/>
    <w:link w:val="32"/>
    <w:qFormat/>
    <w:uiPriority w:val="9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32">
    <w:name w:val="引用 Char"/>
    <w:basedOn w:val="15"/>
    <w:link w:val="31"/>
    <w:qFormat/>
    <w:uiPriority w:val="99"/>
    <w:rPr>
      <w:i/>
      <w:iCs/>
      <w:color w:val="000000" w:themeColor="text1"/>
      <w:kern w:val="2"/>
      <w:sz w:val="21"/>
      <w:szCs w:val="24"/>
      <w14:textFill>
        <w14:solidFill>
          <w14:schemeClr w14:val="tx1"/>
        </w14:solidFill>
      </w14:textFill>
    </w:rPr>
  </w:style>
  <w:style w:type="paragraph" w:styleId="33">
    <w:name w:val="Intense Quote"/>
    <w:basedOn w:val="1"/>
    <w:next w:val="1"/>
    <w:link w:val="34"/>
    <w:qFormat/>
    <w:uiPriority w:val="99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34">
    <w:name w:val="明显引用 Char"/>
    <w:basedOn w:val="15"/>
    <w:link w:val="33"/>
    <w:qFormat/>
    <w:uiPriority w:val="99"/>
    <w:rPr>
      <w:b/>
      <w:bCs/>
      <w:i/>
      <w:iCs/>
      <w:color w:val="4F81BD" w:themeColor="accent1"/>
      <w:kern w:val="2"/>
      <w:sz w:val="21"/>
      <w:szCs w:val="24"/>
      <w14:textFill>
        <w14:solidFill>
          <w14:schemeClr w14:val="accent1"/>
        </w14:solidFill>
      </w14:textFill>
    </w:rPr>
  </w:style>
  <w:style w:type="character" w:customStyle="1" w:styleId="35">
    <w:name w:val="Subtle Emphasis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36">
    <w:name w:val="Intense Emphasis"/>
    <w:basedOn w:val="15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37">
    <w:name w:val="Subtle Reference"/>
    <w:basedOn w:val="15"/>
    <w:qFormat/>
    <w:uiPriority w:val="31"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38">
    <w:name w:val="Intense Reference"/>
    <w:basedOn w:val="15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39">
    <w:name w:val="Book Title"/>
    <w:basedOn w:val="15"/>
    <w:qFormat/>
    <w:uiPriority w:val="33"/>
    <w:rPr>
      <w:b/>
      <w:bCs/>
      <w:smallCaps/>
      <w:spacing w:val="5"/>
    </w:rPr>
  </w:style>
  <w:style w:type="paragraph" w:customStyle="1" w:styleId="40">
    <w:name w:val="TOC Heading"/>
    <w:basedOn w:val="2"/>
    <w:next w:val="1"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B227731-188E-442E-A676-1C2360A1C0C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232</Words>
  <Characters>1328</Characters>
  <Lines>11</Lines>
  <Paragraphs>3</Paragraphs>
  <TotalTime>1015</TotalTime>
  <ScaleCrop>false</ScaleCrop>
  <LinksUpToDate>false</LinksUpToDate>
  <CharactersWithSpaces>1557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2018-05-03T02:08:00Z</dcterms:created>
  <dc:creator>Microsoft</dc:creator>
  <cp:lastModifiedBy>Administrator</cp:lastModifiedBy>
  <dcterms:modified xsi:type="dcterms:W3CDTF">2020-06-05T08:48:14Z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